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iron-20260603.htm"/>
      <w:bookmarkStart w:id="1" w:name="ksiron20260603"/>
      <w:bookmarkEnd w:id="0"/>
      <w:bookmarkEnd w:id="1"/>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June 3, 2026</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Liftoff Mobile,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4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001-43327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86-1817506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900 Middlefield Road, Redwood City, California</w:t>
      </w:r>
      <w:r>
        <w:rPr>
          <w:rFonts w:ascii="Times New Roman" w:hAnsi="Times New Roman"/>
          <w:color w:val="000000"/>
          <w:sz w:val="20"/>
        </w:rPr>
        <w:t xml:space="preserve"> </w:t>
      </w:r>
      <w:r>
        <w:rPr>
          <w:rFonts w:ascii="Times New Roman" w:hAnsi="Times New Roman"/>
          <w:b/>
          <w:color w:val="000000"/>
          <w:sz w:val="20"/>
        </w:rPr>
        <w:t>94063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(650) 319-7151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240.13e- 4(c))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02" w:type="dxa"/>
        <w:jc w:val="left"/>
        <w:tblInd w:w="0" w:type="dxa"/>
        <w:tblLayout w:type="fixed"/>
        <w:tblCellMar>
          <w:top w:w="28" w:type="dxa"/>
          <w:left w:w="28" w:type="dxa"/>
          <w:bottom w:w="28" w:type="dxa"/>
          <w:right w:w="28" w:type="dxa"/>
        </w:tblCellMar>
      </w:tblPr>
      <w:tblGrid>
        <w:gridCol w:w="3676"/>
        <w:gridCol w:w="109"/>
        <w:gridCol w:w="691"/>
        <w:gridCol w:w="109"/>
        <w:gridCol w:w="146"/>
        <w:gridCol w:w="2671"/>
      </w:tblGrid>
      <w:tr>
        <w:trPr/>
        <w:tc>
          <w:tcPr>
            <w:tcW w:w="3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LFTO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initial public offering (the “</w:t>
      </w:r>
      <w:r>
        <w:rPr>
          <w:rFonts w:ascii="Times New Roman" w:hAnsi="Times New Roman"/>
          <w:color w:val="000000"/>
          <w:sz w:val="20"/>
          <w:u w:val="single"/>
        </w:rPr>
        <w:t>Offering</w:t>
      </w:r>
      <w:r>
        <w:rPr>
          <w:rFonts w:ascii="Times New Roman" w:hAnsi="Times New Roman"/>
          <w:color w:val="000000"/>
          <w:sz w:val="20"/>
        </w:rPr>
        <w:t>” or the “</w:t>
      </w:r>
      <w:r>
        <w:rPr>
          <w:rFonts w:ascii="Times New Roman" w:hAnsi="Times New Roman"/>
          <w:color w:val="000000"/>
          <w:sz w:val="20"/>
          <w:u w:val="single"/>
        </w:rPr>
        <w:t>IPO</w:t>
      </w:r>
      <w:r>
        <w:rPr>
          <w:rFonts w:ascii="Times New Roman" w:hAnsi="Times New Roman"/>
          <w:color w:val="000000"/>
          <w:sz w:val="20"/>
        </w:rPr>
        <w:t>”) by Liftoff Mobile, Inc. (the “</w:t>
      </w:r>
      <w:r>
        <w:rPr>
          <w:rFonts w:ascii="Times New Roman" w:hAnsi="Times New Roman"/>
          <w:color w:val="000000"/>
          <w:sz w:val="20"/>
          <w:u w:val="single"/>
        </w:rPr>
        <w:t>Company</w:t>
      </w:r>
      <w:r>
        <w:rPr>
          <w:rFonts w:ascii="Times New Roman" w:hAnsi="Times New Roman"/>
          <w:color w:val="000000"/>
          <w:sz w:val="20"/>
        </w:rPr>
        <w:t>”) of its common stock, par value $0.0001 per share (the “</w:t>
      </w:r>
      <w:r>
        <w:rPr>
          <w:rFonts w:ascii="Times New Roman" w:hAnsi="Times New Roman"/>
          <w:color w:val="000000"/>
          <w:sz w:val="20"/>
          <w:u w:val="single"/>
        </w:rPr>
        <w:t>Common Stock</w:t>
      </w:r>
      <w:r>
        <w:rPr>
          <w:rFonts w:ascii="Times New Roman" w:hAnsi="Times New Roman"/>
          <w:color w:val="000000"/>
          <w:sz w:val="20"/>
        </w:rPr>
        <w:t>”), described in the prospectus (the “</w:t>
      </w:r>
      <w:r>
        <w:rPr>
          <w:rFonts w:ascii="Times New Roman" w:hAnsi="Times New Roman"/>
          <w:color w:val="000000"/>
          <w:sz w:val="20"/>
          <w:u w:val="single"/>
        </w:rPr>
        <w:t>Prospectus</w:t>
      </w:r>
      <w:r>
        <w:rPr>
          <w:rFonts w:ascii="Times New Roman" w:hAnsi="Times New Roman"/>
          <w:color w:val="000000"/>
          <w:sz w:val="20"/>
        </w:rPr>
        <w:t>”), dated June 3, 2026, filed with the Securities and Exchange Commission pursuant to Rule 424(b) of the Securities Act of 1933, as amended (the “</w:t>
      </w:r>
      <w:r>
        <w:rPr>
          <w:rFonts w:ascii="Times New Roman" w:hAnsi="Times New Roman"/>
          <w:color w:val="000000"/>
          <w:sz w:val="20"/>
          <w:u w:val="single"/>
        </w:rPr>
        <w:t>Securities Act</w:t>
      </w:r>
      <w:r>
        <w:rPr>
          <w:rFonts w:ascii="Times New Roman" w:hAnsi="Times New Roman"/>
          <w:color w:val="000000"/>
          <w:sz w:val="20"/>
        </w:rPr>
        <w:t>”), which is deemed to be part of the Registration Statement on Form S-1 (File No. 333-295144) (as amended, the “</w:t>
      </w:r>
      <w:r>
        <w:rPr>
          <w:rFonts w:ascii="Times New Roman" w:hAnsi="Times New Roman"/>
          <w:color w:val="000000"/>
          <w:sz w:val="20"/>
          <w:u w:val="single"/>
        </w:rPr>
        <w:t>Registration Statement</w:t>
      </w:r>
      <w:r>
        <w:rPr>
          <w:rFonts w:ascii="Times New Roman" w:hAnsi="Times New Roman"/>
          <w:color w:val="000000"/>
          <w:sz w:val="20"/>
        </w:rPr>
        <w:t>”), the following agreements were entered into:</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the Registration Rights Agreement, dated June 3, 2026, by and among the Company and each of the other persons from time-to-time party thereto (the “</w:t>
      </w:r>
      <w:r>
        <w:rPr>
          <w:rFonts w:ascii="Times New Roman" w:hAnsi="Times New Roman"/>
          <w:color w:val="000000"/>
          <w:sz w:val="20"/>
          <w:u w:val="single"/>
        </w:rPr>
        <w:t>Registration Rights Agreement</w:t>
      </w:r>
      <w:r>
        <w:rPr>
          <w:color w:val="000000"/>
        </w:rPr>
        <w:t>”</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the Stockholders Agreement, dated June 3, 2026, by and between Liftoff and BCP Redbird Aggregator L.P. (the “</w:t>
      </w:r>
      <w:r>
        <w:rPr>
          <w:rFonts w:ascii="Times New Roman" w:hAnsi="Times New Roman"/>
          <w:color w:val="000000"/>
          <w:sz w:val="20"/>
          <w:u w:val="single"/>
        </w:rPr>
        <w:t>Blackstone Stockholders Agreement</w:t>
      </w:r>
      <w:r>
        <w:rPr>
          <w:color w:val="000000"/>
        </w:rPr>
        <w:t>”</w:t>
      </w:r>
      <w:r>
        <w:rPr>
          <w:rFonts w:ascii="Times New Roman" w:hAnsi="Times New Roman"/>
          <w:color w:val="000000"/>
          <w:sz w:val="20"/>
        </w:rPr>
        <w:t>);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the Stockholders Agreement, dated June 3, 2026, by and between Liftoff and General Atlantic (LFT), L.P. (the “</w:t>
      </w:r>
      <w:r>
        <w:rPr>
          <w:rFonts w:ascii="Times New Roman" w:hAnsi="Times New Roman"/>
          <w:color w:val="000000"/>
          <w:sz w:val="20"/>
          <w:u w:val="single"/>
        </w:rPr>
        <w:t>General Atlantic Stockholders Agreement</w:t>
      </w:r>
      <w:r>
        <w:rPr>
          <w:color w:val="000000"/>
        </w:rPr>
        <w: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Registration Rights Agreement. the Blackstone Stockholders Agreement and the General Atlantic Stockholders Agreement are filed herewith as Exhibits 10.1, 10.2 and 10.3, respectively, and are incorporated herein by reference. The terms of these agreements are substantially the same as the terms set forth in the forms of such agreements previously filed as exhibits to the Registration Statement and as described therein. Certain parties to certain of these agreements have various relationships with the Company. For further information, see “Certain Relationships and Related Party Transactions” in the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3.03 Material Modification to Rights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set forth under Item 5.03 below is incorporated by reference in this Item 3.03.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360" w:after="283"/>
        <w:jc w:val="left"/>
        <w:rPr>
          <w:rFonts w:ascii="Times New Roman" w:hAnsi="Times New Roman"/>
          <w:sz w:val="20"/>
        </w:rPr>
      </w:pPr>
      <w:r>
        <w:rPr>
          <w:rFonts w:ascii="Times New Roman" w:hAnsi="Times New Roman"/>
          <w:b/>
          <w:i/>
          <w:color w:val="000000"/>
          <w:sz w:val="20"/>
        </w:rPr>
        <w:t>2026 Omnibus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Effective June 3, 2026, the Company’s Board of Directors and the stockholders holding a majority of the then aggregate voting power of the Company adopted and approved the Company’s 2026 Omnibus Incentive Plan (the “</w:t>
      </w:r>
      <w:r>
        <w:rPr>
          <w:rFonts w:ascii="Times New Roman" w:hAnsi="Times New Roman"/>
          <w:color w:val="000000"/>
          <w:sz w:val="20"/>
          <w:u w:val="single"/>
        </w:rPr>
        <w:t>Omnibus Incentive Plan</w:t>
      </w:r>
      <w:r>
        <w:rPr>
          <w:rFonts w:ascii="Times New Roman" w:hAnsi="Times New Roman"/>
          <w:color w:val="000000"/>
          <w:sz w:val="20"/>
        </w:rPr>
        <w:t>”) as previously filed as Exhibit 4.3 to the Company’s Registration Statement on Form S-8 filed with the Securities and Exchange Commission on June 3, 2026 (the “</w:t>
      </w:r>
      <w:r>
        <w:rPr>
          <w:rFonts w:ascii="Times New Roman" w:hAnsi="Times New Roman"/>
          <w:color w:val="000000"/>
          <w:sz w:val="20"/>
          <w:u w:val="single"/>
        </w:rPr>
        <w:t>Form S-8</w:t>
      </w:r>
      <w:r>
        <w:rPr>
          <w:rFonts w:ascii="Times New Roman" w:hAnsi="Times New Roman"/>
          <w:color w:val="000000"/>
          <w:sz w:val="20"/>
        </w:rPr>
        <w:t>”). For further information regarding the Omnibus Incentive Plan, see “Management—Compensation Arrangements to be Adopted in Connection with this Offering—Omnibus Incentive Plan” in the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Omnibus Incentive Plan is incorporated by reference (i) as Exhibit 10.4 and (ii) in this Item 5.02. The above description of the Omnibus Incentive Plan is not complete and is qualified in its entirety by reference to such exhibit.</w:t>
      </w:r>
    </w:p>
    <w:p>
      <w:pPr>
        <w:pStyle w:val="TextBody"/>
        <w:bidi w:val="0"/>
        <w:spacing w:before="360" w:after="283"/>
        <w:jc w:val="left"/>
        <w:rPr>
          <w:rFonts w:ascii="Times New Roman" w:hAnsi="Times New Roman"/>
          <w:sz w:val="20"/>
        </w:rPr>
      </w:pPr>
      <w:r>
        <w:rPr>
          <w:rFonts w:ascii="Times New Roman" w:hAnsi="Times New Roman"/>
          <w:b/>
          <w:i/>
          <w:color w:val="000000"/>
          <w:sz w:val="20"/>
        </w:rPr>
        <w:t>2026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Effective June 3, 2026, the Company’s Board of Directors and the stockholders holding a majority of the then aggregate voting power of the Company adopted and approved the Company’s 2026 Employee Stock Purchase Plan (the “</w:t>
      </w:r>
      <w:r>
        <w:rPr>
          <w:rFonts w:ascii="Times New Roman" w:hAnsi="Times New Roman"/>
          <w:color w:val="000000"/>
          <w:sz w:val="20"/>
          <w:u w:val="single"/>
        </w:rPr>
        <w:t>ESPP</w:t>
      </w:r>
      <w:r>
        <w:rPr>
          <w:rFonts w:ascii="Times New Roman" w:hAnsi="Times New Roman"/>
          <w:color w:val="000000"/>
          <w:sz w:val="20"/>
        </w:rPr>
        <w:t>”) as previously filed as Exhibit 4.4 to the Company’s Form S-8. For further information regarding the ESPP, see “Management—Compensation Arrangements to be Adopted in Connection with this Offering—Employee Stock Purchase Plan” in the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ESPP is incorporated by reference (i) as Exhibit 10.5 and (ii) in this Item 5.02. The above description of the ESPP is not complete and is qualified in its entirety by reference to such exhibit.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spacing w:before="240" w:after="283"/>
        <w:jc w:val="left"/>
        <w:rPr>
          <w:rFonts w:ascii="Times New Roman" w:hAnsi="Times New Roman"/>
          <w:sz w:val="20"/>
        </w:rPr>
      </w:pPr>
      <w:r>
        <w:rPr>
          <w:rFonts w:ascii="Times New Roman" w:hAnsi="Times New Roman"/>
          <w:color w:val="000000"/>
          <w:sz w:val="20"/>
        </w:rPr>
        <w:t>On June 3, 2026, the Company’s Amended and Restated Certificate of Incorporation (the “</w:t>
      </w:r>
      <w:r>
        <w:rPr>
          <w:rFonts w:ascii="Times New Roman" w:hAnsi="Times New Roman"/>
          <w:color w:val="000000"/>
          <w:sz w:val="20"/>
          <w:u w:val="single"/>
        </w:rPr>
        <w:t>Charter</w:t>
      </w:r>
      <w:r>
        <w:rPr>
          <w:rFonts w:ascii="Times New Roman" w:hAnsi="Times New Roman"/>
          <w:color w:val="000000"/>
          <w:sz w:val="20"/>
        </w:rPr>
        <w:t>”), substantially in the form previously filed as Exhibit 3.1 to the Registration Statement, and the Company’s Amended and Restated Bylaws (the “</w:t>
      </w:r>
      <w:r>
        <w:rPr>
          <w:rFonts w:ascii="Times New Roman" w:hAnsi="Times New Roman"/>
          <w:color w:val="000000"/>
          <w:sz w:val="20"/>
          <w:u w:val="single"/>
        </w:rPr>
        <w:t>Bylaws</w:t>
      </w:r>
      <w:r>
        <w:rPr>
          <w:rFonts w:ascii="Times New Roman" w:hAnsi="Times New Roman"/>
          <w:color w:val="000000"/>
          <w:sz w:val="20"/>
        </w:rPr>
        <w:t>”), substantially in the form previously filed as Exhibit 3.2 to the Registration Statement, became effective. The Charter, among other things, provides that the Company’s authorized capital stock consists of 7,000,000,000 shares of Common Stock, and 700,000,000 shares of preferred stock. A description of the material terms of the Company’s capital stock, after giving effect to the adoption of the Charter and Bylaws, has previously been reported by the Company in the Registration Statement. The Charter and Bylaws are filed herewith as Exhibit 3.1 and Exhibit 3.2, respectively, and are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2026, the Company completed the Offering of 21,850,000 shares of Common Stock (including shares issued pursuant to the exercise in full of the underwriters’ option to purchase additional shares) for cash consideration of $23.00 per share (net of underwriting discounts). As contemplated in the Prospectus, the Company is using the proceeds (net of underwriting discounts) from the issuance of 21,850,000 shares ($472.4 million) in the Offering to repay outstanding indebtedness under our New Term Loan Facility (as defined in the Prospectus) totaling approximately $413.8 million and the remainder for general corporate purposes and to bear all of the expenses of the Offering.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pPr>
            <w:hyperlink w:anchor="iron-ex3_1.htm">
              <w:r>
                <w:rPr>
                  <w:rStyle w:val="InternetLink"/>
                  <w:rFonts w:ascii="Times New Roman" w:hAnsi="Times New Roman"/>
                  <w:color w:val="0000FF"/>
                  <w:sz w:val="20"/>
                  <w:u w:val="single"/>
                </w:rPr>
                <w:t>Amended and Restated Certificate of Incorporation of Liftoff Mobile, Inc.</w:t>
              </w:r>
            </w:hyperlink>
            <w:hyperlink w:anchor="iron-ex3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pPr>
            <w:hyperlink w:anchor="iron-ex3_2.htm">
              <w:r>
                <w:rPr>
                  <w:rStyle w:val="InternetLink"/>
                  <w:rFonts w:ascii="Times New Roman" w:hAnsi="Times New Roman"/>
                  <w:color w:val="0000FF"/>
                  <w:sz w:val="20"/>
                  <w:u w:val="single"/>
                </w:rPr>
                <w:t>Amended and Restated Bylaws of Liftoff Mobile, Inc.</w:t>
              </w:r>
            </w:hyperlink>
            <w:hyperlink w:anchor="iron-ex3_2.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pPr>
            <w:hyperlink w:anchor="iron-ex10_1.htm">
              <w:r>
                <w:rPr>
                  <w:rStyle w:val="InternetLink"/>
                  <w:rFonts w:ascii="Times New Roman" w:hAnsi="Times New Roman"/>
                  <w:color w:val="0000FF"/>
                  <w:sz w:val="20"/>
                  <w:u w:val="single"/>
                </w:rPr>
                <w:t>Registration Rights Agreement, dated as of June 3, 2026, by and among Liftoff Mobile, Inc. and each of the other persons from time to time party thereto.</w:t>
              </w:r>
            </w:hyperlink>
            <w:hyperlink w:anchor="iron-ex10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413" w:type="dxa"/>
            <w:tcBorders/>
            <w:tcMar>
              <w:top w:w="0" w:type="dxa"/>
              <w:left w:w="0" w:type="dxa"/>
              <w:bottom w:w="0" w:type="dxa"/>
              <w:right w:w="0" w:type="dxa"/>
            </w:tcMar>
            <w:vAlign w:val="center"/>
          </w:tcPr>
          <w:p>
            <w:pPr>
              <w:pStyle w:val="TableContents"/>
              <w:bidi w:val="0"/>
              <w:spacing w:before="0" w:after="120"/>
              <w:jc w:val="left"/>
              <w:rPr/>
            </w:pPr>
            <w:hyperlink w:anchor="iron-ex10_2.htm">
              <w:r>
                <w:rPr>
                  <w:rStyle w:val="InternetLink"/>
                  <w:rFonts w:ascii="Times New Roman" w:hAnsi="Times New Roman"/>
                  <w:color w:val="0000FF"/>
                  <w:sz w:val="20"/>
                  <w:u w:val="single"/>
                </w:rPr>
                <w:t>Stockholders Agreement, dated as of June 3, 2026, by and among Liftoff and entities affiliated with Blackstone</w:t>
              </w:r>
            </w:hyperlink>
            <w:r>
              <w:rPr>
                <w:rFonts w:ascii="Times New Roman" w:hAnsi="Times New Roman"/>
                <w:color w:val="000000"/>
                <w:sz w:val="20"/>
              </w:rPr>
              <w:t>.</w:t>
            </w:r>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413" w:type="dxa"/>
            <w:tcBorders/>
            <w:tcMar>
              <w:top w:w="0" w:type="dxa"/>
              <w:left w:w="0" w:type="dxa"/>
              <w:bottom w:w="0" w:type="dxa"/>
              <w:right w:w="0" w:type="dxa"/>
            </w:tcMar>
            <w:vAlign w:val="center"/>
          </w:tcPr>
          <w:p>
            <w:pPr>
              <w:pStyle w:val="TableContents"/>
              <w:bidi w:val="0"/>
              <w:spacing w:before="0" w:after="120"/>
              <w:jc w:val="left"/>
              <w:rPr/>
            </w:pPr>
            <w:hyperlink w:anchor="iron-ex10_3.htm">
              <w:r>
                <w:rPr>
                  <w:rStyle w:val="InternetLink"/>
                  <w:rFonts w:ascii="Times New Roman" w:hAnsi="Times New Roman"/>
                  <w:color w:val="0000FF"/>
                  <w:sz w:val="20"/>
                  <w:u w:val="single"/>
                </w:rPr>
                <w:t>Stockholders Agreement, dated as of June 3, 2026, by and among Liftoff and entities affiliated with General Atlantic</w:t>
              </w:r>
            </w:hyperlink>
            <w:r>
              <w:rPr>
                <w:rFonts w:ascii="Times New Roman" w:hAnsi="Times New Roman"/>
                <w:color w:val="000000"/>
                <w:sz w:val="20"/>
              </w:rPr>
              <w:t>.</w:t>
            </w:r>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Liftoff Mobile, Inc. 2026 Omnibus Incentive Plan (incorporated by reference to Exhibit 4.3 filed with the Registrant’s Registration Statement on Form S-8 filed with the Securities and Exchange Commission on June 3, 2026).</w:t>
              </w:r>
            </w:hyperlink>
            <w:r>
              <w:rPr>
                <w:rFonts w:ascii="Times New Roman" w:hAnsi="Times New Roman"/>
                <w:color w:val="000000"/>
                <w:sz w:val="20"/>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Liftoff Mobile, Inc. 2026 Employee Stock Purchase Plan (incorporated by reference to Exhibit 4.4 filed with the Registrant’s Registration Statement on Form S-8 filed with the Securities and Exchange Commission on June 3, 2026)</w:t>
              </w:r>
            </w:hyperlink>
            <w:r>
              <w:rPr>
                <w:rFonts w:ascii="Times New Roman" w:hAnsi="Times New Roman"/>
                <w:color w:val="000000"/>
                <w:sz w:val="20"/>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by the undersigned hereunto duly authorized.</w:t>
      </w:r>
    </w:p>
    <w:tbl>
      <w:tblPr>
        <w:tblW w:w="4075" w:type="dxa"/>
        <w:jc w:val="left"/>
        <w:tblInd w:w="0" w:type="dxa"/>
        <w:tblLayout w:type="fixed"/>
        <w:tblCellMar>
          <w:top w:w="28" w:type="dxa"/>
          <w:left w:w="28" w:type="dxa"/>
          <w:bottom w:w="28" w:type="dxa"/>
          <w:right w:w="28" w:type="dxa"/>
        </w:tblCellMar>
      </w:tblPr>
      <w:tblGrid>
        <w:gridCol w:w="1636"/>
        <w:gridCol w:w="146"/>
        <w:gridCol w:w="631"/>
        <w:gridCol w:w="146"/>
        <w:gridCol w:w="15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Liftoff Mobile,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Susan Hansen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Hansen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iron-ex3_1.htm"/>
      <w:bookmarkStart w:id="3" w:name="ksironex3_1"/>
      <w:bookmarkEnd w:id="2"/>
      <w:bookmarkEnd w:id="3"/>
      <w:r>
        <w:rPr>
          <w:rFonts w:ascii="Times New Roman" w:hAnsi="Times New Roman"/>
          <w:b/>
          <w:color w:val="000000"/>
          <w:sz w:val="24"/>
        </w:rPr>
        <w:t>Exhibit 3.1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AMENDED AND RESTATED CERTIFICATE OF INCORPORATION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LIFTOFF MOBILE, Inc.</w:t>
      </w:r>
    </w:p>
    <w:p>
      <w:pPr>
        <w:pStyle w:val="TextBody"/>
        <w:bidi w:val="0"/>
        <w:spacing w:before="0" w:after="240"/>
        <w:jc w:val="left"/>
        <w:rPr>
          <w:rFonts w:ascii="Times New Roman" w:hAnsi="Times New Roman"/>
          <w:sz w:val="20"/>
        </w:rPr>
      </w:pPr>
      <w:r>
        <w:rPr>
          <w:rFonts w:ascii="Times New Roman" w:hAnsi="Times New Roman"/>
          <w:color w:val="000000"/>
          <w:sz w:val="24"/>
        </w:rPr>
        <w:t>The present name of the corporation is Liftoff Mobile, Inc.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The Corporation was incorporated under the name “Booster Parent Holdings, Inc.” by the filing of its original certificate of incorporation with the Secretary of State of the State of Delaware on November 6, 2020 (as amended and/or restated prior to the date hereof, the “</w:t>
      </w:r>
      <w:r>
        <w:rPr>
          <w:rFonts w:ascii="Times New Roman" w:hAnsi="Times New Roman"/>
          <w:color w:val="000000"/>
          <w:sz w:val="24"/>
          <w:u w:val="single"/>
        </w:rPr>
        <w:t>Existing Certificate of Incorporation</w:t>
      </w:r>
      <w:r>
        <w:rPr>
          <w:rFonts w:ascii="Times New Roman" w:hAnsi="Times New Roman"/>
          <w:color w:val="000000"/>
          <w:sz w:val="20"/>
        </w:rPr>
        <w:t>”</w:t>
      </w:r>
      <w:r>
        <w:rPr>
          <w:rFonts w:ascii="Times New Roman" w:hAnsi="Times New Roman"/>
          <w:color w:val="000000"/>
          <w:sz w:val="24"/>
        </w:rPr>
        <w:t>). This Amended and Restated Certificate of Incorporation of the Corporation (as the same may be amended and/or restated from time to time, the “</w:t>
      </w:r>
      <w:r>
        <w:rPr>
          <w:rFonts w:ascii="Times New Roman" w:hAnsi="Times New Roman"/>
          <w:color w:val="000000"/>
          <w:sz w:val="24"/>
          <w:u w:val="single"/>
        </w:rPr>
        <w:t>Restated Certificate of Incorporation</w:t>
      </w:r>
      <w:r>
        <w:rPr>
          <w:rFonts w:ascii="Times New Roman" w:hAnsi="Times New Roman"/>
          <w:color w:val="000000"/>
          <w:sz w:val="20"/>
        </w:rPr>
        <w:t>”</w:t>
      </w:r>
      <w:r>
        <w:rPr>
          <w:rFonts w:ascii="Times New Roman" w:hAnsi="Times New Roman"/>
          <w:color w:val="000000"/>
          <w:sz w:val="24"/>
        </w:rPr>
        <w:t xml:space="preserve">), which amends, restates and integrates the provisions of the Existing Certificate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4"/>
        </w:rPr>
        <w:t>Incorporation, was duly adopted in accordance with the provisions of Sections 242 and 245 of the General Corporation Law of the State of Delaware and by the written consent of the stockholders in accordance with Section 228 of the General Corporation Law of the State of Delaware. The Existing Certificate of Incorporation of the Corporation is hereby amended, restated and integrated to read in its entirety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Name</w:t>
      </w:r>
      <w:r>
        <w:rPr>
          <w:rFonts w:ascii="Times New Roman" w:hAnsi="Times New Roman"/>
          <w:color w:val="000000"/>
          <w:sz w:val="24"/>
        </w:rPr>
        <w:t>. The name of the Corporation is Liftoff Mobile, Inc.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2.1. </w:t>
      </w:r>
      <w:r>
        <w:rPr>
          <w:rFonts w:ascii="Times New Roman" w:hAnsi="Times New Roman"/>
          <w:color w:val="000000"/>
          <w:sz w:val="24"/>
          <w:u w:val="single"/>
        </w:rPr>
        <w:t>Address</w:t>
      </w:r>
      <w:r>
        <w:rPr>
          <w:rFonts w:ascii="Times New Roman" w:hAnsi="Times New Roman"/>
          <w:color w:val="000000"/>
          <w:sz w:val="24"/>
        </w:rPr>
        <w:t>. The registered office of the Corporation in the State of Delaware is 251 Little Falls Drive, Wilmington, New Castle County, Delaware 19808; and the name of the Corporation’s registered agent at such address is Corporation Service Company.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3.1. </w:t>
      </w:r>
      <w:r>
        <w:rPr>
          <w:rFonts w:ascii="Times New Roman" w:hAnsi="Times New Roman"/>
          <w:color w:val="000000"/>
          <w:sz w:val="24"/>
          <w:u w:val="single"/>
        </w:rPr>
        <w:t>Purpose</w:t>
      </w:r>
      <w:r>
        <w:rPr>
          <w:rFonts w:ascii="Times New Roman" w:hAnsi="Times New Roman"/>
          <w:color w:val="000000"/>
          <w:sz w:val="24"/>
        </w:rPr>
        <w:t>. The purpose of the Corporation is to engage in any lawful act or activity for which corporations may now or hereafter be organized under the General Corporation Law of the State of Delaware (as the same exists or may hereafter be amended from time to time, the “</w:t>
      </w:r>
      <w:r>
        <w:rPr>
          <w:rFonts w:ascii="Times New Roman" w:hAnsi="Times New Roman"/>
          <w:color w:val="000000"/>
          <w:sz w:val="24"/>
          <w:u w:val="single"/>
        </w:rPr>
        <w:t>DGCL</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4.1. </w:t>
      </w:r>
      <w:r>
        <w:rPr>
          <w:rFonts w:ascii="Times New Roman" w:hAnsi="Times New Roman"/>
          <w:color w:val="000000"/>
          <w:sz w:val="24"/>
          <w:u w:val="single"/>
        </w:rPr>
        <w:t>Capitalization</w:t>
      </w:r>
      <w:r>
        <w:rPr>
          <w:rFonts w:ascii="Times New Roman" w:hAnsi="Times New Roman"/>
          <w:color w:val="000000"/>
          <w:sz w:val="24"/>
        </w:rPr>
        <w:t>. The total number of shares of all classes of stock that the Corporation is authorized to issue is 7,000,000,000 shares of Common Stock, par value $0.0001 per share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and 700,000,000 shares of Preferred Stock, par value $0.0001 per share (“</w:t>
      </w:r>
      <w:r>
        <w:rPr>
          <w:rFonts w:ascii="Times New Roman" w:hAnsi="Times New Roman"/>
          <w:color w:val="000000"/>
          <w:sz w:val="24"/>
          <w:u w:val="single"/>
        </w:rPr>
        <w:t>Preferred Stock</w:t>
      </w:r>
      <w:r>
        <w:rPr>
          <w:rFonts w:ascii="Times New Roman" w:hAnsi="Times New Roman"/>
          <w:color w:val="000000"/>
          <w:sz w:val="20"/>
        </w:rPr>
        <w:t>”</w:t>
      </w:r>
      <w:r>
        <w:rPr>
          <w:rFonts w:ascii="Times New Roman" w:hAnsi="Times New Roman"/>
          <w:color w:val="000000"/>
          <w:sz w:val="24"/>
        </w:rPr>
        <w:t>). The number of authorized shares of any of the Common Stock or Preferred Stock may be increased or decreased (but not below the number of shares thereof then outstanding) by the requisite vote of the stockholders entitled to vote thereon irrespective of the provisions of Section 242(b)(2) of the DGCL (or any successor provision thereto), and no vote of the holders of any of the Common Stock or Preferred Stock voting separately as a class shall be required therefor, unless a vote of any such holder is expressly required pursuant to this Restated Certificate of Incorporation (including any certificate of designation relating to any series of Preferred Stock).</w:t>
      </w:r>
    </w:p>
    <w:p>
      <w:pPr>
        <w:pStyle w:val="TextBody"/>
        <w:bidi w:val="0"/>
        <w:spacing w:before="0" w:after="240"/>
        <w:jc w:val="both"/>
        <w:rPr>
          <w:rFonts w:ascii="Times New Roman" w:hAnsi="Times New Roman"/>
          <w:sz w:val="20"/>
        </w:rPr>
      </w:pPr>
      <w:r>
        <w:rPr>
          <w:rFonts w:ascii="Times New Roman" w:hAnsi="Times New Roman"/>
          <w:color w:val="000000"/>
          <w:sz w:val="24"/>
        </w:rPr>
        <w:t>Upon this Restated Certificate of Incorporation becoming effective pursuant to the DGCL (the “</w:t>
      </w:r>
      <w:r>
        <w:rPr>
          <w:rFonts w:ascii="Times New Roman" w:hAnsi="Times New Roman"/>
          <w:color w:val="000000"/>
          <w:sz w:val="24"/>
          <w:u w:val="single"/>
        </w:rPr>
        <w:t>Effective Time</w:t>
      </w:r>
      <w:r>
        <w:rPr>
          <w:rFonts w:ascii="Times New Roman" w:hAnsi="Times New Roman"/>
          <w:color w:val="000000"/>
          <w:sz w:val="20"/>
        </w:rPr>
        <w:t>”</w:t>
      </w:r>
      <w:r>
        <w:rPr>
          <w:rFonts w:ascii="Times New Roman" w:hAnsi="Times New Roman"/>
          <w:color w:val="000000"/>
          <w:sz w:val="24"/>
        </w:rPr>
        <w:t>), each share of Class A common stock, par value $0.0001 per share (the “</w:t>
      </w:r>
      <w:r>
        <w:rPr>
          <w:rFonts w:ascii="Times New Roman" w:hAnsi="Times New Roman"/>
          <w:color w:val="000000"/>
          <w:sz w:val="24"/>
          <w:u w:val="single"/>
        </w:rPr>
        <w:t>Class A Common Stock</w:t>
      </w:r>
      <w:r>
        <w:rPr>
          <w:rFonts w:ascii="Times New Roman" w:hAnsi="Times New Roman"/>
          <w:color w:val="000000"/>
          <w:sz w:val="20"/>
        </w:rPr>
        <w:t>”</w:t>
      </w:r>
      <w:r>
        <w:rPr>
          <w:rFonts w:ascii="Times New Roman" w:hAnsi="Times New Roman"/>
          <w:color w:val="000000"/>
          <w:sz w:val="24"/>
        </w:rPr>
        <w:t>), and each share of Class B common stock, par value $0.0001 per share (the “</w:t>
      </w:r>
      <w:r>
        <w:rPr>
          <w:rFonts w:ascii="Times New Roman" w:hAnsi="Times New Roman"/>
          <w:color w:val="000000"/>
          <w:sz w:val="24"/>
          <w:u w:val="single"/>
        </w:rPr>
        <w:t>Class B Common Stock</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 the Corporation issued and outstanding or held in treasury immediately prior to the Effective Time will be reclassified and converted into 1.3 issued, fully paid and nonassessable shares of Common Stock, without any action required on the part of the Corporation or the holders of such Common Stock (the “</w:t>
      </w:r>
      <w:r>
        <w:rPr>
          <w:rFonts w:ascii="Times New Roman" w:hAnsi="Times New Roman"/>
          <w:color w:val="000000"/>
          <w:sz w:val="24"/>
          <w:u w:val="single"/>
        </w:rPr>
        <w:t>Reclassification</w:t>
      </w:r>
      <w:r>
        <w:rPr>
          <w:rFonts w:ascii="Times New Roman" w:hAnsi="Times New Roman"/>
          <w:color w:val="000000"/>
          <w:sz w:val="20"/>
        </w:rPr>
        <w:t>”</w:t>
      </w:r>
      <w:r>
        <w:rPr>
          <w:rFonts w:ascii="Times New Roman" w:hAnsi="Times New Roman"/>
          <w:color w:val="000000"/>
          <w:sz w:val="24"/>
        </w:rPr>
        <w:t>). The Reclassification shall be effected on a certificate by certificate basis or book entry by book entry basis, as applicable. No fractional shares of Common Stock will be issued in connection with the Reclassification. In lieu of fractional shares, for each certificate or book entry, as applicable, holders of such Common Stock will receive a cash payment equal to the fair value of such fractional shares (after aggregating all fractional shares such holder would otherwise be entitled to receive with respect to such certificate or such book entry), as determined in good faith by the Board (as defined below). From and after the Effective Time, certificates representing shares of Class A Common Stock or Class B Common Stock issued and outstanding or held in treasury immediately prior to the Effective Time, if any, shall be deemed to represent the number of whole shares of Common Stock into which such shares of Class A Common Stock or Class B Common Stock shall have been reclassified pursuant to this Restated Certificate of Incorporation until such certificates shall be surrendered to the Corporation for transfer or exchange.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4.2. </w:t>
      </w:r>
      <w:r>
        <w:rPr>
          <w:rFonts w:ascii="Times New Roman" w:hAnsi="Times New Roman"/>
          <w:color w:val="000000"/>
          <w:sz w:val="24"/>
          <w:u w:val="single"/>
        </w:rPr>
        <w:t>Preferred Stock</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The Board of Directors of the Corporation (the “</w:t>
      </w:r>
      <w:r>
        <w:rPr>
          <w:rFonts w:ascii="Times New Roman" w:hAnsi="Times New Roman"/>
          <w:color w:val="000000"/>
          <w:sz w:val="24"/>
          <w:u w:val="single"/>
        </w:rPr>
        <w:t>Board</w:t>
      </w:r>
      <w:r>
        <w:rPr>
          <w:color w:val="000000"/>
        </w:rPr>
        <w:t>”</w:t>
      </w:r>
      <w:r>
        <w:rPr>
          <w:rFonts w:ascii="Times New Roman" w:hAnsi="Times New Roman"/>
          <w:color w:val="000000"/>
          <w:sz w:val="24"/>
        </w:rPr>
        <w:t>) is hereby expressly authorized,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required by law, holders of a series of Preferred Stock, as such, shall be entitled only to such voting rights, if any, as shall expressly be granted thereto by this Restated Certificate of Incorporation (including any certificate of designations relating to such series of Preferred Stock).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4.3. </w:t>
      </w:r>
      <w:r>
        <w:rPr>
          <w:rFonts w:ascii="Times New Roman" w:hAnsi="Times New Roman"/>
          <w:color w:val="000000"/>
          <w:sz w:val="24"/>
          <w:u w:val="single"/>
        </w:rPr>
        <w:t>Common Stock</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Voting Rights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Except as otherwise provided in this Restated Certificate of Incorporation or applicable law, each holder of record of Common Stock, as such, shall be entitled to one vote for each share of Common Stock held of record by such holder on all matters on which stockholders generally or holders of Common Stock as a separate class are entitled to vote (whether voting separately as a class or together with one or more classes of the Corporation’s capital stock). Notwithstanding the foregoing, to the fullest extent permitted by law, holders of Common Stock, as such, shall have no voting power with respect to, and shall not be entitled to vote on, any amendment to this Restated Certificate of Incorporation (including any certificate of designation relating to any series of Preferred Stock)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series, to vote thereon pursuant to this Restated Certificate of Incorporation (including any certificate of designations relating to any series of Preferred Stock) or pursuant to the DGCL.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rPr>
        <w:t xml:space="preserve">Notwithstanding anything herein to the contrary, with respect to any amendment to this Restated Certificate of Incorporation that solely amends </w:t>
      </w:r>
      <w:r>
        <w:rPr>
          <w:rFonts w:ascii="Times New Roman" w:hAnsi="Times New Roman"/>
          <w:color w:val="000000"/>
          <w:sz w:val="24"/>
          <w:u w:val="single"/>
        </w:rPr>
        <w:t>Annex A</w:t>
      </w:r>
      <w:r>
        <w:rPr>
          <w:color w:val="000000"/>
        </w:rPr>
        <w:t xml:space="preserve"> </w:t>
      </w:r>
      <w:r>
        <w:rPr>
          <w:rFonts w:ascii="Times New Roman" w:hAnsi="Times New Roman"/>
          <w:color w:val="000000"/>
          <w:sz w:val="24"/>
        </w:rPr>
        <w:t>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reflect the amendment and/or restatement of one or more Stockholders Agreements (as defined below) effected in accordance with the terms of such Stockholders Agreements, the holders of Common Stock whose consent or approval is required to effect such amendments or restatements to the applicable Stockholders Agreements pursuant to the terms of such Stockholders Agreements shall be the sole and exclusive holders of Common Stock, as such, entitled to vote on such amendment to this Restated Certificate of Incorporation and all other holders of Common Stock, as such, and the holders of any other class or series of capital stock of the Corporation shall have no voting power on such amendment to this Restated Certificate of Incorporation;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add any additional Stockholders Agreement that may be entered into between the Corporation and one or more holders of shares of Common Stock from time to time, the holders of Common Stock party to such additional Stockholders Agreement added to Annex A hereto pursuant to such amendment to this Restated Certificate of Incorporation shall be the sole and exclusive holders of Common Stock, as such, entitled to vote on such amendment to this Restated Certificate of Incorporation and all other holders of Common Stock, as such, and the holders of any other class or series of capital stock of the Corporation shall have no voting power on such amendment to this Restated Certificate of Incorporation.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Dividends and Distributions</w:t>
      </w:r>
      <w:r>
        <w:rPr>
          <w:rFonts w:ascii="Times New Roman" w:hAnsi="Times New Roman"/>
          <w:color w:val="000000"/>
          <w:sz w:val="24"/>
        </w:rPr>
        <w:t xml:space="preserve">. Subject to applicable law and the rights, if any, of the holders of any outstanding series of Preferred Stock or any class or series of stock having a preference over or the right to participate with the Common Stock with respect to the payment of dividends and other distributions in cash, property or shares of capital stock of the Corporation, such dividends and other distributions may be declared and paid on the Common Stock out of the assets of the Corporation that are legally available for this purpose at such times and in such amounts as the Board in its discretion shall determine.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Liquidation, Dissolution or Winding Up</w:t>
      </w:r>
      <w:r>
        <w:rPr>
          <w:rFonts w:ascii="Times New Roman" w:hAnsi="Times New Roman"/>
          <w:color w:val="000000"/>
          <w:sz w:val="24"/>
        </w:rPr>
        <w:t xml:space="preserve">. In the event of any voluntary or involuntary liquidation, dissolution or winding up of the affairs of the Corporation, after payment or provision for payment of the debts and other liabilities of the Corporation and subject to the right, if any, of the holders of any outstanding series of Preferred Stock or any class or series of stock having a preference over or the right to participate with the Common Stock as to distributions upon dissolution or liquidation or winding up of the Corporation, the holders of all outstanding shares of Common Stock shall be entitled to receive the remaining assets of the Corporation available for distribution to its stockholders ratably in proportion to the number of shares held by each such stockholder.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5.1. </w:t>
      </w:r>
      <w:r>
        <w:rPr>
          <w:rFonts w:ascii="Times New Roman" w:hAnsi="Times New Roman"/>
          <w:color w:val="000000"/>
          <w:sz w:val="24"/>
          <w:u w:val="single"/>
        </w:rPr>
        <w:t>Bylaws</w:t>
      </w:r>
      <w:r>
        <w:rPr>
          <w:rFonts w:ascii="Times New Roman" w:hAnsi="Times New Roman"/>
          <w:color w:val="000000"/>
          <w:sz w:val="24"/>
        </w:rPr>
        <w:t>. Subject to the rights granted to the holders of any one or more series of Preferred Stock then outstanding and the rights granted pursuant to the Stockholders Agreements, in furtherance and not in limitation of the powers conferred by the DGCL, the Board is expressly authorized to make, alter, amend, change, add to, rescind or repeal, in whole or in part, the bylaws of the Corporation (as the same may be amended and/or restated from time to time, the “</w:t>
      </w:r>
      <w:r>
        <w:rPr>
          <w:rFonts w:ascii="Times New Roman" w:hAnsi="Times New Roman"/>
          <w:color w:val="000000"/>
          <w:sz w:val="24"/>
          <w:u w:val="single"/>
        </w:rPr>
        <w:t>Bylaws</w:t>
      </w:r>
      <w:r>
        <w:rPr>
          <w:rFonts w:ascii="Times New Roman" w:hAnsi="Times New Roman"/>
          <w:color w:val="000000"/>
          <w:sz w:val="20"/>
        </w:rPr>
        <w:t>”</w:t>
      </w:r>
      <w:r>
        <w:rPr>
          <w:rFonts w:ascii="Times New Roman" w:hAnsi="Times New Roman"/>
          <w:color w:val="000000"/>
          <w:sz w:val="24"/>
        </w:rPr>
        <w:t>) without the assent or vote of the stockholders in any manner not inconsistent with the laws of the State of Delaware or this Restated Certificate of Incorporation. In addition, the Bylaws may be amended or repealed by the stockholders in any respect, and new bylaws may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adopted by the stockholders, by the affirmative vote of the holders of at least a majority of the voting power of the then outstanding shares of stock of the Corporation entitled to vote thereon, voting together as a single class.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6.1. </w:t>
      </w:r>
      <w:r>
        <w:rPr>
          <w:rFonts w:ascii="Times New Roman" w:hAnsi="Times New Roman"/>
          <w:color w:val="000000"/>
          <w:sz w:val="24"/>
          <w:u w:val="single"/>
        </w:rPr>
        <w:t>Board of Directors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 xml:space="preserve">Except as otherwise provided in this Restated Certificate of Incorporation or the DGCL, the business and affairs of the Corporation shall be managed by or under the direction of the Board. Except as otherwise provided for or fixed pursuant to the provisions of </w:t>
      </w:r>
      <w:r>
        <w:rPr>
          <w:rFonts w:ascii="Times New Roman" w:hAnsi="Times New Roman"/>
          <w:color w:val="000000"/>
          <w:sz w:val="24"/>
          <w:u w:val="single"/>
        </w:rPr>
        <w:t>Article IV</w:t>
      </w:r>
      <w:r>
        <w:rPr>
          <w:color w:val="000000"/>
        </w:rPr>
        <w:t xml:space="preserve"> </w:t>
      </w:r>
      <w:r>
        <w:rPr>
          <w:rFonts w:ascii="Times New Roman" w:hAnsi="Times New Roman"/>
          <w:color w:val="000000"/>
          <w:sz w:val="24"/>
        </w:rPr>
        <w:t xml:space="preserve">(including any certificate of designation with respect to any series of Preferred Stock) and this </w:t>
      </w:r>
      <w:r>
        <w:rPr>
          <w:rFonts w:ascii="Times New Roman" w:hAnsi="Times New Roman"/>
          <w:color w:val="000000"/>
          <w:sz w:val="24"/>
          <w:u w:val="single"/>
        </w:rPr>
        <w:t>Article VI</w:t>
      </w:r>
      <w:r>
        <w:rPr>
          <w:color w:val="000000"/>
        </w:rPr>
        <w:t xml:space="preserve"> </w:t>
      </w:r>
      <w:r>
        <w:rPr>
          <w:rFonts w:ascii="Times New Roman" w:hAnsi="Times New Roman"/>
          <w:color w:val="000000"/>
          <w:sz w:val="24"/>
        </w:rPr>
        <w:t xml:space="preserve">relating to the rights of the holders of any series of Preferred Stock to elect additional directors, and subject to the applicable requirements of the Stockholders Agreements, (each in the form set forth on </w:t>
      </w:r>
      <w:r>
        <w:rPr>
          <w:rFonts w:ascii="Times New Roman" w:hAnsi="Times New Roman"/>
          <w:color w:val="000000"/>
          <w:sz w:val="24"/>
          <w:u w:val="single"/>
        </w:rPr>
        <w:t>Annex A</w:t>
      </w:r>
      <w:r>
        <w:rPr>
          <w:color w:val="000000"/>
        </w:rPr>
        <w:t xml:space="preserve"> </w:t>
      </w:r>
      <w:r>
        <w:rPr>
          <w:rFonts w:ascii="Times New Roman" w:hAnsi="Times New Roman"/>
          <w:color w:val="000000"/>
          <w:sz w:val="24"/>
        </w:rPr>
        <w:t>hereto, as amended and/or restated as provided for herein, collectively, the “</w:t>
      </w:r>
      <w:r>
        <w:rPr>
          <w:rFonts w:ascii="Times New Roman" w:hAnsi="Times New Roman"/>
          <w:color w:val="000000"/>
          <w:sz w:val="24"/>
          <w:u w:val="single"/>
        </w:rPr>
        <w:t>Stockholders Agreements</w:t>
      </w:r>
      <w:r>
        <w:rPr>
          <w:color w:val="000000"/>
        </w:rPr>
        <w:t>”</w:t>
      </w:r>
      <w:r>
        <w:rPr>
          <w:rFonts w:ascii="Times New Roman" w:hAnsi="Times New Roman"/>
          <w:color w:val="000000"/>
          <w:sz w:val="24"/>
        </w:rPr>
        <w:t>), between the Corporation and each of parties thereto, the total number of directors constituting the Whole Board shall be determined from time to time exclusively by resolution adopted by the Board. For purposes of this Restated Certificate of Incorporation, the term “</w:t>
      </w:r>
      <w:r>
        <w:rPr>
          <w:rFonts w:ascii="Times New Roman" w:hAnsi="Times New Roman"/>
          <w:color w:val="000000"/>
          <w:sz w:val="24"/>
          <w:u w:val="single"/>
        </w:rPr>
        <w:t>Whole Board</w:t>
      </w:r>
      <w:r>
        <w:rPr>
          <w:color w:val="000000"/>
        </w:rPr>
        <w:t xml:space="preserve">” </w:t>
      </w:r>
      <w:r>
        <w:rPr>
          <w:rFonts w:ascii="Times New Roman" w:hAnsi="Times New Roman"/>
          <w:color w:val="000000"/>
          <w:sz w:val="24"/>
        </w:rPr>
        <w:t>shall mean the total number of authorized directors (from time to time) whether or not there exist any vacancies in previously authorized directorships.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rights granted to the holders of any one or more series of Preferred Stock then outstanding and the rights granted pursuant to the Stockholders Agreements, at any time when Blackstone (as defined in the applicable Stockholders Agreement) is entitled to designate a Designee (as defined in the applicable Stockholders Agreement), any newly-created directorship on the Board that results from an increase in the total number of directors and any vacancy occurring in the Board (whether by death, resignation, retirement, disqualification, removal or other cause) shall be filled by the affirmative vote of a majority of the directors then in office (other than directors elected by the holders of any series of Preferred Stock, voting separately as a series or together with one or more such series, as the case may be), although less than a quorum, by a sole remaining director or, with the approval of Blackstone, by the stockholders (or, in the case of any newly created directorship or vacancy in respect of a Designee, by the Designating Stockholder (as defined in the applicable Stockholders Agreement) (acting in its own capacity or by or through its Designating Stockholder Representative (as defined in the applicable Stockholders Agreement)) entitled to fill such newly created directorship or vacancy (for the avoidance of doubt, such Designating Stockholder shall not require the approval of Blackstone to fill such vacancy). Subject to the rights granted to holders of one or more series of Preferred Stock then outstanding and the rights granted pursuant to the Stockholders Agreements, at any time when Blackstone ceases to be entitled to designate a Designee, any newly-created directorship on the Board that results from an increase in the number of directors and any vacancy occurring in the Board shall be filled only by a majority of the directors then in office (other than directors elected by the holders of any series of Preferred Stock, voting separately as a series or together with one or more series, as the case may be), although less than a quorum, or by a sole remaining director (or, in the case of any newly created directorship or vacancy in respect of a Designee, by the Designating Stockholder (acting in its own capacity or by or through its Designating Stockholder Representative) entitled to fill such newly created directorship or vacancy) (and otherwise not by stockholders). Any director elected to fill a vacancy or newly created directorship shall hold office until the next annual meeting for the election of directors and until his or her successor shall be elected and qualified, or until his or her earlier death, resignation, retirement, disqualification or removal.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Subject to the rights granted pursuant to the Stockholders Agreements, at any time when Blackstone is entitled to designate a Designee, 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pPr>
      <w:r>
        <w:rPr>
          <w:rFonts w:ascii="Times New Roman" w:hAnsi="Times New Roman"/>
          <w:color w:val="000000"/>
          <w:sz w:val="24"/>
        </w:rPr>
        <w:t>majority in voting power of all outstanding shares of stock of the Corporation entitled to vote thereon, voting together as a single class, provided that such affirmative vote shall include the approval of Blackstone. Subject to the rights granted pursuant to the Stockholders Agreements, in all other circumstances, 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the holders of at least sixty-six and two-thirds (66 2/3)% of the voting power of the then outstanding shares of stock of the Corporation entitled to vote thereon, voting together as a single class. Notwithstanding anything to the contrary herein, for so long as a Designating Stockholder (acting by or through its Designating Stockholder Representative) is entitled to designate or cause the appointment of a Designee, (i) no such Designee shall be removed without, in addition to any vote required herein or by applicable law, the affirmative vote of the holders of a majority of the outstanding shares beneficially owned by such Designating Stockholder and (ii) any such Designee shall cease be qualified as, and shall cease to be, a director upon delivery by such Designating Stockholder (acting by or through its Designating Stockholder Representative) of a written instrument advising that such Designee shall cease to serve as the Designee of such Designating Stockholder.</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of Incorporation (including any certificate of designation relating to any series of Preferred Stock) applicable thereto. Notwithstanding </w:t>
      </w:r>
      <w:r>
        <w:rPr>
          <w:rFonts w:ascii="Times New Roman" w:hAnsi="Times New Roman"/>
          <w:color w:val="000000"/>
          <w:sz w:val="24"/>
          <w:u w:val="single"/>
        </w:rPr>
        <w:t>Section 6.1 (A)</w:t>
      </w:r>
      <w:r>
        <w:rPr>
          <w:rFonts w:ascii="Times New Roman" w:hAnsi="Times New Roman"/>
          <w:color w:val="000000"/>
          <w:sz w:val="24"/>
        </w:rPr>
        <w:t xml:space="preserve">, the number of directors that may be elected by the holders of any such series of Preferred Stock shall be in addition to the number fixed pursuant to </w:t>
      </w:r>
      <w:r>
        <w:rPr>
          <w:rFonts w:ascii="Times New Roman" w:hAnsi="Times New Roman"/>
          <w:color w:val="000000"/>
          <w:sz w:val="24"/>
          <w:u w:val="single"/>
        </w:rPr>
        <w:t>Section 6.1 (A)</w:t>
      </w:r>
      <w:r>
        <w:rPr>
          <w:color w:val="000000"/>
        </w:rPr>
        <w:t xml:space="preserve"> </w:t>
      </w:r>
      <w:r>
        <w:rPr>
          <w:rFonts w:ascii="Times New Roman" w:hAnsi="Times New Roman"/>
          <w:color w:val="000000"/>
          <w:sz w:val="24"/>
        </w:rPr>
        <w:t>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Directors of the Corporation need not be elected by written ballot unless the Bylaws shall so provide. Except as otherwise provided in this Restated Certificate of Incorporation (including any certificate of designation relating to any series of Preferred Stock) or the Bylaws (as either may be amended and/or restated from time to time), directors of the Corporation shall be elected at each annual meeting of the stockholders and shall serve until the next annual meeting of the stockholders and until their successors are duly elected and qualified, or until their earlier death, resignation, retirement, disqualification or removal.</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VII</w:t>
      </w:r>
    </w:p>
    <w:p>
      <w:pPr>
        <w:pStyle w:val="TextBody"/>
        <w:bidi w:val="0"/>
        <w:spacing w:before="0" w:after="240"/>
        <w:jc w:val="left"/>
        <w:rPr>
          <w:rFonts w:ascii="Times New Roman" w:hAnsi="Times New Roman"/>
          <w:sz w:val="20"/>
        </w:rPr>
      </w:pPr>
      <w:bookmarkStart w:id="4" w:name="a"/>
      <w:bookmarkEnd w:id="4"/>
      <w:r>
        <w:rPr>
          <w:rFonts w:ascii="Times New Roman" w:hAnsi="Times New Roman"/>
          <w:color w:val="000000"/>
          <w:sz w:val="24"/>
        </w:rPr>
        <w:t xml:space="preserve">Section 7.1. </w:t>
      </w:r>
      <w:r>
        <w:rPr>
          <w:rFonts w:ascii="Times New Roman" w:hAnsi="Times New Roman"/>
          <w:color w:val="000000"/>
          <w:sz w:val="24"/>
          <w:u w:val="single"/>
        </w:rPr>
        <w:t>Meetings of Stockholders</w:t>
      </w:r>
      <w:r>
        <w:rPr>
          <w:rFonts w:ascii="Times New Roman" w:hAnsi="Times New Roman"/>
          <w:color w:val="000000"/>
          <w:sz w:val="24"/>
        </w:rPr>
        <w:t>. Subject to the rights granted to the holders of any one or more series of Preferred Stock then outstanding and the rights granted pursuant to the Stockholders Agreements, at any time when Blackstone is entitled to designate a Designee, any action required or permitted to be taken by the holders of stock of the Corporation may be taken by consent in lieu of a meeting, without prior notice and without a vote, if a consent or consents, setting forth the action so taken, shall be signed by Blackstone and the holders of outstanding shares of the relevant class or series, including Blackstone, having not less than the minimum number of votes that would be necessary to authorize or take such action at a meeting at which all shares entitled to vote thereon were present and voted and shall be delivered to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Corporation in accordance with applicable law. At any time when Blackstone ceases to be entitled to designate a Designee, any action required or permitted to be taken by the holders of stock of the Corporation must be effected at a duly called annual or special meeting of such holders and may not be effected by any consent in lieu of a meeting by such holders unless such action is recommended by all directors of the Corporation then in office; </w:t>
      </w:r>
      <w:r>
        <w:rPr>
          <w:rFonts w:ascii="Times New Roman" w:hAnsi="Times New Roman"/>
          <w:i/>
          <w:color w:val="000000"/>
          <w:sz w:val="24"/>
        </w:rPr>
        <w:t>provided, however</w:t>
      </w:r>
      <w:r>
        <w:rPr>
          <w:rFonts w:ascii="Times New Roman" w:hAnsi="Times New Roman"/>
          <w:color w:val="000000"/>
          <w:sz w:val="24"/>
        </w:rPr>
        <w:t xml:space="preserve">, that any action required or permitted to be taken,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accordance with applicable law. Subject to the rights of the holders of any series of Preferred Stock, special meetings of the stockholders of the Corporation may be called only by or at the direction of the Board, the Chair of the Board or the Chief Executive Officer of the Corporation; </w:t>
      </w:r>
      <w:r>
        <w:rPr>
          <w:rFonts w:ascii="Times New Roman" w:hAnsi="Times New Roman"/>
          <w:i/>
          <w:color w:val="000000"/>
          <w:sz w:val="24"/>
        </w:rPr>
        <w:t>provided, however</w:t>
      </w:r>
      <w:r>
        <w:rPr>
          <w:rFonts w:ascii="Times New Roman" w:hAnsi="Times New Roman"/>
          <w:color w:val="000000"/>
          <w:sz w:val="24"/>
        </w:rPr>
        <w:t>, that at any time when a Designating Stockholder is entitled to designate a Designee, special meetings of the stockholders of the Corporation for any purpose or purposes shall also be called by or at the direction of the Board or the Chair of the Board at the request of such Designating Stockholder.</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VIII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8.1. </w:t>
      </w:r>
      <w:r>
        <w:rPr>
          <w:rFonts w:ascii="Times New Roman" w:hAnsi="Times New Roman"/>
          <w:color w:val="000000"/>
          <w:sz w:val="24"/>
          <w:u w:val="single"/>
        </w:rPr>
        <w:t>Limited Liability of Directors and Officers</w:t>
      </w:r>
      <w:r>
        <w:rPr>
          <w:rFonts w:ascii="Times New Roman" w:hAnsi="Times New Roman"/>
          <w:color w:val="000000"/>
          <w:sz w:val="24"/>
        </w:rPr>
        <w:t xml:space="preserve">. No director or officer of the Corporation will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Neither the amendment nor the repeal of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shall eliminate or reduce the effect thereof in respect of any state of facts existing or act or omission occurring, or any cause of action, suit or claim that, but for this </w:t>
      </w:r>
      <w:r>
        <w:rPr>
          <w:rFonts w:ascii="Times New Roman" w:hAnsi="Times New Roman"/>
          <w:color w:val="000000"/>
          <w:sz w:val="24"/>
          <w:u w:val="single"/>
        </w:rPr>
        <w:t>Article VIII</w:t>
      </w:r>
      <w:r>
        <w:rPr>
          <w:rFonts w:ascii="Times New Roman" w:hAnsi="Times New Roman"/>
          <w:color w:val="000000"/>
          <w:sz w:val="24"/>
        </w:rPr>
        <w:t xml:space="preserve">, would accrue or arise, prior to such amendment or repeal. All references in this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to a director shall be deemed to refer to such other person or persons, if any, who pursuant to a provision of this Restated Certificate of Incorporation in accordance with Section 141(a) of the DGCL, exercise or perform any of the powers or duties otherwise conferred upon the Board by the DGCL.</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IX</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9.1. </w:t>
      </w:r>
      <w:r>
        <w:rPr>
          <w:rFonts w:ascii="Times New Roman" w:hAnsi="Times New Roman"/>
          <w:color w:val="000000"/>
          <w:sz w:val="24"/>
          <w:u w:val="single"/>
        </w:rPr>
        <w:t>Competition and Corporate Opportunities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In recognition and anticipation that (i) members of the Board who are not employees of the Corporation or any its subsidiaries (“</w:t>
      </w:r>
      <w:r>
        <w:rPr>
          <w:rFonts w:ascii="Times New Roman" w:hAnsi="Times New Roman"/>
          <w:color w:val="000000"/>
          <w:sz w:val="24"/>
          <w:u w:val="single"/>
        </w:rPr>
        <w:t>Non-Employee Directors</w:t>
      </w:r>
      <w:r>
        <w:rPr>
          <w:color w:val="000000"/>
        </w:rPr>
        <w:t>”</w:t>
      </w:r>
      <w:r>
        <w:rPr>
          <w:rFonts w:ascii="Times New Roman" w:hAnsi="Times New Roman"/>
          <w:color w:val="000000"/>
          <w:sz w:val="24"/>
        </w:rPr>
        <w:t xml:space="preserve">) and its respective Affiliates and Affiliated Entities (each,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 the Designating Stockholders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are set forth to regulate and define the conduct of certain affairs of the Corporation with respect to certain classes or categories of business opportunities as they may involve any of the Non-Employee Directors, the Designating Stockholders or their respective Affiliates and the powers, rights, duties and liabilities of the Corporation and its directors, officers and stockholders in connection therewith.</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 xml:space="preserve">To the fullest extent permitted by law, the Corporation hereby renounces any interest or expectancy in, or right to be offered an opportunity to participate in, any business opportunity that may be a corporate opportunity for any Non-Employee Director (including any Non-Employee Director who serves as an officer of the Corporation in both his or her director and officer capacities) or his or her Affiliates or Affiliated Entities, the Designating Stockholders or any of their respective Affiliates and the Corporation or any of its Affiliates, except as provided in </w:t>
      </w:r>
      <w:r>
        <w:rPr>
          <w:rFonts w:ascii="Times New Roman" w:hAnsi="Times New Roman"/>
          <w:color w:val="000000"/>
          <w:sz w:val="24"/>
          <w:u w:val="single"/>
        </w:rPr>
        <w:t>Section 9.1(C)</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Article IX</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 xml:space="preserve">Notwithstanding the foregoing provision of this </w:t>
      </w:r>
      <w:r>
        <w:rPr>
          <w:rFonts w:ascii="Times New Roman" w:hAnsi="Times New Roman"/>
          <w:color w:val="000000"/>
          <w:sz w:val="24"/>
          <w:u w:val="single"/>
        </w:rPr>
        <w:t>Article IX</w:t>
      </w:r>
      <w:r>
        <w:rPr>
          <w:rFonts w:ascii="Times New Roman" w:hAnsi="Times New Roman"/>
          <w:color w:val="000000"/>
          <w:sz w:val="24"/>
        </w:rPr>
        <w:t xml:space="preserve">, 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or officer of the Corporation, and the provisions of </w:t>
      </w:r>
      <w:r>
        <w:rPr>
          <w:rFonts w:ascii="Times New Roman" w:hAnsi="Times New Roman"/>
          <w:color w:val="000000"/>
          <w:sz w:val="24"/>
          <w:u w:val="single"/>
        </w:rPr>
        <w:t>Section 9.1(B)</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shall not apply to any such corporate opportunity. In addition, notwithstanding anything to the contrary set forth herein, the provisions of this </w:t>
      </w:r>
      <w:r>
        <w:rPr>
          <w:rFonts w:ascii="Times New Roman" w:hAnsi="Times New Roman"/>
          <w:color w:val="000000"/>
          <w:sz w:val="24"/>
          <w:u w:val="single"/>
        </w:rPr>
        <w:t>Section 9.1</w:t>
      </w:r>
      <w:r>
        <w:rPr>
          <w:color w:val="000000"/>
        </w:rPr>
        <w:t xml:space="preserve"> </w:t>
      </w:r>
      <w:r>
        <w:rPr>
          <w:rFonts w:ascii="Times New Roman" w:hAnsi="Times New Roman"/>
          <w:color w:val="000000"/>
          <w:sz w:val="24"/>
        </w:rPr>
        <w:t>shall not release any person who is or was an employee of the Corporation or any of its subsidiaries from any obligations or duties that such person may have pursuant to any other agreement that such person may have with the Corporation or any of its subsidiaries.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In addition to and notwithstanding the foregoing provisions of this </w:t>
      </w:r>
      <w:r>
        <w:rPr>
          <w:rFonts w:ascii="Times New Roman" w:hAnsi="Times New Roman"/>
          <w:color w:val="000000"/>
          <w:sz w:val="24"/>
          <w:u w:val="single"/>
        </w:rPr>
        <w:t>Article IX</w:t>
      </w:r>
      <w:r>
        <w:rPr>
          <w:rFonts w:ascii="Times New Roman" w:hAnsi="Times New Roman"/>
          <w:color w:val="000000"/>
          <w:sz w:val="24"/>
        </w:rPr>
        <w:t>, a potential corporate opportunity shall not be deemed to be a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For purposes of this </w:t>
      </w:r>
      <w:r>
        <w:rPr>
          <w:rFonts w:ascii="Times New Roman" w:hAnsi="Times New Roman"/>
          <w:color w:val="000000"/>
          <w:sz w:val="24"/>
          <w:u w:val="single"/>
        </w:rPr>
        <w:t>Article IX</w:t>
      </w:r>
      <w:r>
        <w:rPr>
          <w:rFonts w:ascii="Times New Roman" w:hAnsi="Times New Roman"/>
          <w:color w:val="000000"/>
          <w:sz w:val="24"/>
        </w:rPr>
        <w:t>, (i)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 in respect of a Non-Employee Director, any Person that, directly or indirectly, is controlled by such Non-Employee Director (other than the Corporation and any entity that is controlled by the Corporation), (b) in respect of any Designating Stockholder, a Person that, directly or indirectly, is controlled by any of the Designating Stockholders, controls any of the Designating Stockholders or is under common control with any of the Designating Stockholders and shall include any principal, member, director, partner, stockholder, officer, employee or other representative of any of the foregoing (other than the Corporation and any entity that is controlled by the Corporation), and (c) in respect of the Corporation, any Person that, directly or indirectly, is controlled by the Corporation; (ii) “</w:t>
      </w:r>
      <w:r>
        <w:rPr>
          <w:rFonts w:ascii="Times New Roman" w:hAnsi="Times New Roman"/>
          <w:color w:val="000000"/>
          <w:sz w:val="24"/>
          <w:u w:val="single"/>
        </w:rPr>
        <w:t>Affiliated Entity</w:t>
      </w:r>
      <w:r>
        <w:rPr>
          <w:color w:val="000000"/>
        </w:rPr>
        <w:t xml:space="preserve">” </w:t>
      </w:r>
      <w:r>
        <w:rPr>
          <w:rFonts w:ascii="Times New Roman" w:hAnsi="Times New Roman"/>
          <w:color w:val="000000"/>
          <w:sz w:val="24"/>
        </w:rPr>
        <w:t>shall mean (A) any Person of which a Non-Employee Director serves as an officer, director, employee, agent or other representative (other than the Corporation and any entity that is controlled by the Corporation), (B) any Person that controls, is controlled by or under common control with a Person set forth in clause (A) whether directly or indirectly, and (C) any direct or indirect partner, stockholder, member, manager or other representative of any Person set forth in clauses (A) or (B); and (iii) “</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shall mean any individual, corporation, general or limited partnership, limited liability company, joint venture, trust, association or any other entity.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rPr>
        <w:t xml:space="preserve">For the purposes of this </w:t>
      </w:r>
      <w:r>
        <w:rPr>
          <w:rFonts w:ascii="Times New Roman" w:hAnsi="Times New Roman"/>
          <w:color w:val="000000"/>
          <w:sz w:val="24"/>
          <w:u w:val="single"/>
        </w:rPr>
        <w:t>Article IX</w:t>
      </w:r>
      <w:r>
        <w:rPr>
          <w:rFonts w:ascii="Times New Roman" w:hAnsi="Times New Roman"/>
          <w:color w:val="000000"/>
          <w:sz w:val="24"/>
        </w:rPr>
        <w:t>, “</w:t>
      </w:r>
      <w:r>
        <w:rPr>
          <w:rFonts w:ascii="Times New Roman" w:hAnsi="Times New Roman"/>
          <w:color w:val="000000"/>
          <w:sz w:val="24"/>
          <w:u w:val="single"/>
        </w:rPr>
        <w:t>control</w:t>
      </w:r>
      <w:r>
        <w:rPr>
          <w:rFonts w:ascii="Times New Roman" w:hAnsi="Times New Roman"/>
          <w:color w:val="000000"/>
          <w:sz w:val="24"/>
        </w:rPr>
        <w:t>,” including the terms “</w:t>
      </w:r>
      <w:r>
        <w:rPr>
          <w:rFonts w:ascii="Times New Roman" w:hAnsi="Times New Roman"/>
          <w:color w:val="000000"/>
          <w:sz w:val="24"/>
          <w:u w:val="single"/>
        </w:rPr>
        <w:t>controlling</w:t>
      </w:r>
      <w:r>
        <w:rPr>
          <w:rFonts w:ascii="Times New Roman" w:hAnsi="Times New Roman"/>
          <w:color w:val="000000"/>
          <w:sz w:val="24"/>
        </w:rPr>
        <w:t>,” “</w:t>
      </w:r>
      <w:r>
        <w:rPr>
          <w:rFonts w:ascii="Times New Roman" w:hAnsi="Times New Roman"/>
          <w:color w:val="000000"/>
          <w:sz w:val="24"/>
          <w:u w:val="single"/>
        </w:rPr>
        <w:t>controlled by</w:t>
      </w:r>
      <w:r>
        <w:rPr>
          <w:color w:val="00000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4"/>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the restrictions on business combinations set forth in </w:t>
      </w:r>
      <w:r>
        <w:rPr>
          <w:rFonts w:ascii="Times New Roman" w:hAnsi="Times New Roman"/>
          <w:color w:val="000000"/>
          <w:sz w:val="24"/>
          <w:u w:val="single"/>
        </w:rPr>
        <w:t>Article X</w:t>
      </w:r>
      <w:r>
        <w:rPr>
          <w:color w:val="000000"/>
        </w:rPr>
        <w:t xml:space="preserve"> </w:t>
      </w:r>
      <w:r>
        <w:rPr>
          <w:rFonts w:ascii="Times New Roman" w:hAnsi="Times New Roman"/>
          <w:color w:val="000000"/>
          <w:sz w:val="24"/>
        </w:rPr>
        <w:t>of this Restated Certificate of Incorporation, as an agent, bank, broker, nominee, custodian or trustee for one or more owners who do not individually or as a group have control of such entity.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hAnsi="Times New Roman"/>
          <w:color w:val="000000"/>
          <w:sz w:val="24"/>
          <w:u w:val="single"/>
        </w:rPr>
        <w:t>Article IX</w:t>
      </w:r>
      <w:r>
        <w:rPr>
          <w:rFonts w:ascii="Times New Roman" w:hAnsi="Times New Roman"/>
          <w:color w:val="000000"/>
          <w:sz w:val="24"/>
        </w:rPr>
        <w:t xml:space="preserve">. Neither the alteration, amendment, addition to or repeal of this </w:t>
      </w:r>
      <w:r>
        <w:rPr>
          <w:rFonts w:ascii="Times New Roman" w:hAnsi="Times New Roman"/>
          <w:color w:val="000000"/>
          <w:sz w:val="24"/>
          <w:u w:val="single"/>
        </w:rPr>
        <w:t>Article IX</w:t>
      </w:r>
      <w:r>
        <w:rPr>
          <w:rFonts w:ascii="Times New Roman" w:hAnsi="Times New Roman"/>
          <w:color w:val="000000"/>
          <w:sz w:val="24"/>
        </w:rPr>
        <w:t xml:space="preserve">, nor the adoption of any provision of this Restated Certificate of Incorporation (including any certificate of designation relating to any series of Preferred Stock) inconsistent with this </w:t>
      </w:r>
      <w:r>
        <w:rPr>
          <w:rFonts w:ascii="Times New Roman" w:hAnsi="Times New Roman"/>
          <w:color w:val="000000"/>
          <w:sz w:val="24"/>
          <w:u w:val="single"/>
        </w:rPr>
        <w:t>Article IX</w:t>
      </w:r>
      <w:r>
        <w:rPr>
          <w:rFonts w:ascii="Times New Roman" w:hAnsi="Times New Roman"/>
          <w:color w:val="000000"/>
          <w:sz w:val="24"/>
        </w:rPr>
        <w:t xml:space="preserve">, shall eliminate or reduce the effect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in respect of any business opportunity first identified or any other matter occurring, or any cause of action, suit or claim that, but for this </w:t>
      </w:r>
      <w:r>
        <w:rPr>
          <w:rFonts w:ascii="Times New Roman" w:hAnsi="Times New Roman"/>
          <w:color w:val="000000"/>
          <w:sz w:val="24"/>
          <w:u w:val="single"/>
        </w:rPr>
        <w:t>Article IX</w:t>
      </w:r>
      <w:r>
        <w:rPr>
          <w:rFonts w:ascii="Times New Roman" w:hAnsi="Times New Roman"/>
          <w:color w:val="000000"/>
          <w:sz w:val="24"/>
        </w:rPr>
        <w:t>, would accrue or arise, prior to such alteration, amendment, addition, repeal or adoption.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X</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10.1. </w:t>
      </w:r>
      <w:r>
        <w:rPr>
          <w:rFonts w:ascii="Times New Roman" w:hAnsi="Times New Roman"/>
          <w:color w:val="000000"/>
          <w:sz w:val="24"/>
          <w:u w:val="single"/>
        </w:rPr>
        <w:t>DGCL Section 203 and Business Combinations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Corporation hereby expressly elects not to be governed by Section 203 of the DGCL.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hAnsi="Times New Roman"/>
          <w:color w:val="000000"/>
          <w:sz w:val="24"/>
          <w:u w:val="single"/>
        </w:rPr>
        <w:t>Exchange Act</w:t>
      </w:r>
      <w:r>
        <w:rPr>
          <w:color w:val="000000"/>
        </w:rPr>
        <w:t>”</w:t>
      </w:r>
      <w:r>
        <w:rPr>
          <w:rFonts w:ascii="Times New Roman" w:hAnsi="Times New Roman"/>
          <w:color w:val="000000"/>
          <w:sz w:val="24"/>
        </w:rPr>
        <w:t>), with any interested stockholder (as defined below) for a period of three years following the time that such stockholder became an interested stockholder, unless: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such time, the Board approved either the business combination or the transaction which resulted in the stockholder becoming an interested stockholder,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 xml:space="preserve">For purposes of this </w:t>
      </w:r>
      <w:r>
        <w:rPr>
          <w:rFonts w:ascii="Times New Roman" w:hAnsi="Times New Roman"/>
          <w:color w:val="000000"/>
          <w:sz w:val="24"/>
          <w:u w:val="single"/>
        </w:rPr>
        <w:t>Article X</w:t>
      </w:r>
      <w:r>
        <w:rPr>
          <w:rFonts w:ascii="Times New Roman" w:hAnsi="Times New Roman"/>
          <w:color w:val="000000"/>
          <w:sz w:val="24"/>
        </w:rPr>
        <w:t>, references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means a person that directly, or indirectly through one or more intermediaries, controls, or is controlled by, or is under common control with, another 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color w:val="000000"/>
        </w:rPr>
        <w:t>“</w:t>
      </w:r>
      <w:r>
        <w:rPr>
          <w:rFonts w:ascii="Times New Roman" w:hAnsi="Times New Roman"/>
          <w:color w:val="000000"/>
          <w:sz w:val="24"/>
          <w:u w:val="single"/>
        </w:rPr>
        <w:t>associate</w:t>
      </w:r>
      <w:r>
        <w:rPr>
          <w:rFonts w:ascii="Times New Roman" w:hAnsi="Times New Roman"/>
          <w:color w:val="000000"/>
          <w:sz w:val="24"/>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color w:val="000000"/>
        </w:rPr>
        <w:t>“</w:t>
      </w:r>
      <w:r>
        <w:rPr>
          <w:rFonts w:ascii="Times New Roman" w:hAnsi="Times New Roman"/>
          <w:color w:val="000000"/>
          <w:sz w:val="24"/>
          <w:u w:val="single"/>
        </w:rPr>
        <w:t>business combination</w:t>
      </w:r>
      <w:r>
        <w:rPr>
          <w:rFonts w:ascii="Times New Roman" w:hAnsi="Times New Roman"/>
          <w:color w:val="000000"/>
          <w:sz w:val="24"/>
        </w:rPr>
        <w:t>,” when used in reference to the Corporation and any interested stockholder of the Corporation, means: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Times New Roman" w:hAnsi="Times New Roman"/>
          <w:color w:val="000000"/>
          <w:sz w:val="24"/>
          <w:u w:val="single"/>
        </w:rPr>
        <w:t>Section (B)</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Article X</w:t>
      </w:r>
      <w:r>
        <w:rPr>
          <w:color w:val="000000"/>
        </w:rPr>
        <w:t xml:space="preserve"> </w:t>
      </w:r>
      <w:r>
        <w:rPr>
          <w:rFonts w:ascii="Times New Roman" w:hAnsi="Times New Roman"/>
          <w:color w:val="000000"/>
          <w:sz w:val="24"/>
        </w:rPr>
        <w:t>is not applicable to the surviving entity;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4"/>
        </w:rPr>
        <w:t>,” including the terms “</w:t>
      </w:r>
      <w:r>
        <w:rPr>
          <w:rFonts w:ascii="Times New Roman" w:hAnsi="Times New Roman"/>
          <w:color w:val="000000"/>
          <w:sz w:val="24"/>
          <w:u w:val="single"/>
        </w:rPr>
        <w:t>controlling</w:t>
      </w:r>
      <w:r>
        <w:rPr>
          <w:rFonts w:ascii="Times New Roman" w:hAnsi="Times New Roman"/>
          <w:color w:val="000000"/>
          <w:sz w:val="24"/>
        </w:rPr>
        <w:t>,” “</w:t>
      </w:r>
      <w:r>
        <w:rPr>
          <w:rFonts w:ascii="Times New Roman" w:hAnsi="Times New Roman"/>
          <w:color w:val="000000"/>
          <w:sz w:val="24"/>
          <w:u w:val="single"/>
        </w:rPr>
        <w:t>controlled by</w:t>
      </w:r>
      <w:r>
        <w:rPr>
          <w:color w:val="00000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4"/>
        </w:rPr>
        <w:t>,” shall have the meaning set forth in Section 9.1(F).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color w:val="000000"/>
        </w:rPr>
        <w:t>“</w:t>
      </w:r>
      <w:r>
        <w:rPr>
          <w:rFonts w:ascii="Times New Roman" w:hAnsi="Times New Roman"/>
          <w:color w:val="000000"/>
          <w:sz w:val="24"/>
          <w:u w:val="single"/>
        </w:rPr>
        <w:t>Designating Stockholder Direct Transferee</w:t>
      </w:r>
      <w:r>
        <w:rPr>
          <w:color w:val="000000"/>
        </w:rPr>
        <w:t xml:space="preserve">” </w:t>
      </w:r>
      <w:r>
        <w:rPr>
          <w:rFonts w:ascii="Times New Roman" w:hAnsi="Times New Roman"/>
          <w:color w:val="000000"/>
          <w:sz w:val="24"/>
        </w:rPr>
        <w:t>means any person that acquires (other than in a registered public offering) directly from any Designating Stockholder or any of its successors or any “group,” or any member of any such group, of which such persons are a party under Rule 13d-5 of the Exchange Act beneficial ownership of 15% or more of the then outstanding voting stock of the 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color w:val="000000"/>
        </w:rPr>
        <w:t>“</w:t>
      </w:r>
      <w:r>
        <w:rPr>
          <w:rFonts w:ascii="Times New Roman" w:hAnsi="Times New Roman"/>
          <w:color w:val="000000"/>
          <w:sz w:val="24"/>
          <w:u w:val="single"/>
        </w:rPr>
        <w:t>Designating Stockholder Indirect Transferee</w:t>
      </w:r>
      <w:r>
        <w:rPr>
          <w:color w:val="000000"/>
        </w:rPr>
        <w:t xml:space="preserve">” </w:t>
      </w:r>
      <w:r>
        <w:rPr>
          <w:rFonts w:ascii="Times New Roman" w:hAnsi="Times New Roman"/>
          <w:color w:val="000000"/>
          <w:sz w:val="24"/>
        </w:rPr>
        <w:t>means any person that acquires (other than in a registered public offering) directly from any Designating Stockholder Direct Transferee or any other Designating Stockholder Indirect Transferee beneficial ownership of 15% or more of the then outstanding voting stock of the 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color w:val="000000"/>
        </w:rPr>
        <w:t>“</w:t>
      </w:r>
      <w:r>
        <w:rPr>
          <w:rFonts w:ascii="Times New Roman" w:hAnsi="Times New Roman"/>
          <w:color w:val="000000"/>
          <w:sz w:val="24"/>
          <w:u w:val="single"/>
        </w:rPr>
        <w:t>interested stockholder</w:t>
      </w:r>
      <w:r>
        <w:rPr>
          <w:color w:val="000000"/>
        </w:rPr>
        <w:t xml:space="preserve">” </w:t>
      </w:r>
      <w:r>
        <w:rPr>
          <w:rFonts w:ascii="Times New Roman" w:hAnsi="Times New Roman"/>
          <w:color w:val="000000"/>
          <w:sz w:val="24"/>
        </w:rPr>
        <w:t xml:space="preserve">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Designating Stockholder, any Designating Stockholder Direct Transferee, any Designating Stockholder Indirect Transferee or any of their respective Affiliates or successors, any Designating Stockholders acting together,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further</w:t>
      </w:r>
      <w:r>
        <w:rPr>
          <w:rFonts w:ascii="Times New Roman" w:hAnsi="Times New Roman"/>
          <w:color w:val="000000"/>
          <w:sz w:val="24"/>
        </w:rPr>
        <w:t>,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color w:val="000000"/>
        </w:rPr>
        <w:t>“</w:t>
      </w:r>
      <w:r>
        <w:rPr>
          <w:rFonts w:ascii="Times New Roman" w:hAnsi="Times New Roman"/>
          <w:color w:val="000000"/>
          <w:sz w:val="24"/>
          <w:u w:val="single"/>
        </w:rPr>
        <w:t>owner</w:t>
      </w:r>
      <w:r>
        <w:rPr>
          <w:rFonts w:ascii="Times New Roman" w:hAnsi="Times New Roman"/>
          <w:color w:val="000000"/>
          <w:sz w:val="24"/>
        </w:rPr>
        <w:t>,” including the terms “</w:t>
      </w:r>
      <w:r>
        <w:rPr>
          <w:rFonts w:ascii="Times New Roman" w:hAnsi="Times New Roman"/>
          <w:color w:val="000000"/>
          <w:sz w:val="24"/>
          <w:u w:val="single"/>
        </w:rPr>
        <w:t>own</w:t>
      </w:r>
      <w:r>
        <w:rPr>
          <w:color w:val="000000"/>
        </w:rPr>
        <w:t xml:space="preserve">” </w:t>
      </w:r>
      <w:r>
        <w:rPr>
          <w:rFonts w:ascii="Times New Roman" w:hAnsi="Times New Roman"/>
          <w:color w:val="000000"/>
          <w:sz w:val="24"/>
        </w:rPr>
        <w:t>and “</w:t>
      </w:r>
      <w:r>
        <w:rPr>
          <w:rFonts w:ascii="Times New Roman" w:hAnsi="Times New Roman"/>
          <w:color w:val="000000"/>
          <w:sz w:val="24"/>
          <w:u w:val="single"/>
        </w:rPr>
        <w:t>owned</w:t>
      </w:r>
      <w:r>
        <w:rPr>
          <w:rFonts w:ascii="Times New Roman" w:hAnsi="Times New Roman"/>
          <w:color w:val="000000"/>
          <w:sz w:val="24"/>
        </w:rPr>
        <w:t>,” when used with respect to any stock, means a person that individually or with or through any of its Affiliates or associates: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beneficially owns such stock, directly or indirectly;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person shall not be deemed the owner of any stock because of such person’s right to vote such stock if the agreement, arrangement or understanding to vote such stock arises solely from a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revocable proxy or consent given in response to a proxy or consent solicitation made to 10 or more persons;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means any individual, corporation, partnership, unincorporated association or other entity.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color w:val="000000"/>
        </w:rPr>
        <w:t>“</w:t>
      </w:r>
      <w:r>
        <w:rPr>
          <w:rFonts w:ascii="Times New Roman" w:hAnsi="Times New Roman"/>
          <w:color w:val="000000"/>
          <w:sz w:val="24"/>
          <w:u w:val="single"/>
        </w:rPr>
        <w:t>stock</w:t>
      </w:r>
      <w:r>
        <w:rPr>
          <w:color w:val="000000"/>
        </w:rPr>
        <w:t xml:space="preserve">” </w:t>
      </w:r>
      <w:r>
        <w:rPr>
          <w:rFonts w:ascii="Times New Roman" w:hAnsi="Times New Roman"/>
          <w:color w:val="000000"/>
          <w:sz w:val="24"/>
        </w:rPr>
        <w:t>means, with respect to any corporation, capital stock and, with respect to any other entity, any equity 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color w:val="000000"/>
        </w:rPr>
        <w:t>“</w:t>
      </w:r>
      <w:r>
        <w:rPr>
          <w:rFonts w:ascii="Times New Roman" w:hAnsi="Times New Roman"/>
          <w:color w:val="000000"/>
          <w:sz w:val="24"/>
          <w:u w:val="single"/>
        </w:rPr>
        <w:t>voting stock</w:t>
      </w:r>
      <w:r>
        <w:rPr>
          <w:color w:val="000000"/>
        </w:rPr>
        <w:t xml:space="preserve">” </w:t>
      </w:r>
      <w:r>
        <w:rPr>
          <w:rFonts w:ascii="Times New Roman" w:hAnsi="Times New Roman"/>
          <w:color w:val="000000"/>
          <w:sz w:val="24"/>
        </w:rPr>
        <w:t>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XI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11.1. </w:t>
      </w:r>
      <w:r>
        <w:rPr>
          <w:rFonts w:ascii="Times New Roman" w:hAnsi="Times New Roman"/>
          <w:color w:val="000000"/>
          <w:sz w:val="24"/>
          <w:u w:val="single"/>
        </w:rPr>
        <w:t>Severability</w:t>
      </w:r>
      <w:r>
        <w:rPr>
          <w:rFonts w:ascii="Times New Roman" w:hAnsi="Times New Roman"/>
          <w:color w:val="000000"/>
          <w:sz w:val="24"/>
        </w:rPr>
        <w:t>. If any provision or provisions of this Restated Certificate of Incorporation shall be held to be invalid, illegal or unenforceable as applied to any circumstance for any reason whatsoever: (i) the validity, legality and enforceability of such provisions in any other circumstance and of the remaining provisions of this Restated Certificate of Incorporation (including, without limitation, each portion of any paragraph of this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of Incorporation (including, without limitation, each such portion of any paragraph of this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11.2. </w:t>
      </w:r>
      <w:r>
        <w:rPr>
          <w:rFonts w:ascii="Times New Roman" w:hAnsi="Times New Roman"/>
          <w:color w:val="000000"/>
          <w:sz w:val="24"/>
          <w:u w:val="single"/>
        </w:rPr>
        <w:t>Stockholders Agreements</w:t>
      </w:r>
      <w:r>
        <w:rPr>
          <w:rFonts w:ascii="Times New Roman" w:hAnsi="Times New Roman"/>
          <w:color w:val="000000"/>
          <w:sz w:val="24"/>
        </w:rPr>
        <w:t>. Notwithstanding anything to the contrary herein, for so long as the Stockholders Agreements are in effect, (a) the Designating Stockholders and each Designating Stockholder Representative shall have and may exercise all such rights conferred upon them under the applicable Stockholders Agreement, including the rights to nominate directors and appoint or cause the appointment of one or more directors to fill any vacancies or newly created directorships, (b) the total number of directors constituting the Whole Board shall not be less than the minimum number of directors that all Designating Stockholders (acting in their own capacity or by or through their respective Designating Stockholder Representatives) are entitled to and actually so designate thereunder, and (c) the total number of directors constituting the Whole Board in effect at any time shall be automatically increased to the extent required to give effect to the exercise of rights of a Designating Stockholder (acting in its own capacity or by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through its Designating Stockholder Representative) under the Stockholders Agreements to designate for nomination, appoint or cause the appointment of a director.</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XII</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12.1. </w:t>
      </w:r>
      <w:r>
        <w:rPr>
          <w:rFonts w:ascii="Times New Roman" w:hAnsi="Times New Roman"/>
          <w:color w:val="000000"/>
          <w:sz w:val="24"/>
          <w:u w:val="single"/>
        </w:rPr>
        <w:t>Derivative Actions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There is hereby established a committee of the Board designated as the “</w:t>
      </w:r>
      <w:r>
        <w:rPr>
          <w:rFonts w:ascii="Times New Roman" w:hAnsi="Times New Roman"/>
          <w:color w:val="000000"/>
          <w:sz w:val="24"/>
          <w:u w:val="single"/>
        </w:rPr>
        <w:t>Litigation Demand Committee</w:t>
      </w:r>
      <w:r>
        <w:rPr>
          <w:rFonts w:ascii="Times New Roman" w:hAnsi="Times New Roman"/>
          <w:color w:val="000000"/>
          <w:sz w:val="24"/>
        </w:rPr>
        <w:t xml:space="preserve">,” which shall have, and is hereby vested with, the sole and exclusive power and authority of the Board, to the fullest extent permitted by law, to investigate, review, consider and evaluate, and take and cause to be implemented all actions and make all such decisions and determinations with respect to, any demands to investigate or take any action with respect to any allegation or claim of any breach of fiduciary duty owed by any current or former director, officer, stockholder or other fiduciary of the Corporation or any affiliate thereof, as well as any other allegation or claim that may give rise to a derivative claim that may be brought by or on behalf of the Corporation or any affiliate thereof, including, without limitation, with respect to whether to initiate or decline to initiate any action, suit or proceeding, or to pursue, continue, move to dismiss, settle, compromise, resolve or take other action with respect to, any such demand or threatened or pending derivative action. Without limiting the foregoing power and authority so vested in the Litigation Demand Committee, the Litigation Demand Committee is authorized and empowered to exercise the full power and authority of the Board in connection with the exercise of the foregoing power and authority so vested in the Litigation Demand Committee, including, without limitation, the power and authority to engage such experts, counsel and advisors, including legal counsel and/or other advisors, as the Litigation Demand Committee may determine to be necessary, advisable, appropriate or desirable to assist in the discharge of its authority.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 xml:space="preserve">The Litigation Demand Committee shall be composed of the directors in office at any time and from time to time then appointed to the Litigation Demand Committee by the Board; </w:t>
      </w:r>
      <w:r>
        <w:rPr>
          <w:rFonts w:ascii="Times New Roman" w:hAnsi="Times New Roman"/>
          <w:i/>
          <w:color w:val="000000"/>
          <w:sz w:val="24"/>
        </w:rPr>
        <w:t>provided</w:t>
      </w:r>
      <w:r>
        <w:rPr>
          <w:rFonts w:ascii="Times New Roman" w:hAnsi="Times New Roman"/>
          <w:color w:val="000000"/>
          <w:sz w:val="24"/>
        </w:rPr>
        <w:t xml:space="preserve">, that a director shall only be qualified to serve on the Litigation Demand Committee if, prior to the director’s appointment to the Litigation Demand Committee, the Board has determined that such director satisfies the relevant criteria for determining director independence under any rules promulgated by any national securities exchange on which the Common Stock is listed for trading.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Litigation Demand Committee may in its discretion (and, solely to the extent the Litigation Demand Committee deems warranted by the facts and circumstances in respect of any demand or threatened or pending derivative action for which a demand has been made to, or that is otherwise before, the Litigation Demand Committee, the Litigation Demand Committee shall) establish a subcommittee of the Litigation Demand Committee, which subcommittee shall have any or all of the powers and authority of the Litigation Demand Committee.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12.2. </w:t>
      </w:r>
      <w:r>
        <w:rPr>
          <w:rFonts w:ascii="Times New Roman" w:hAnsi="Times New Roman"/>
          <w:color w:val="000000"/>
          <w:sz w:val="24"/>
          <w:u w:val="single"/>
        </w:rPr>
        <w:t>Forum</w:t>
      </w:r>
      <w:r>
        <w:rPr>
          <w:rFonts w:ascii="Times New Roman" w:hAnsi="Times New Roman"/>
          <w:color w:val="000000"/>
          <w:sz w:val="24"/>
        </w:rPr>
        <w:t>. Unless the Corporation selects or consents in writing to the selection of an alternative forum, the Court of Chancery of the State of Delaware (or, if such court does not have subject matter jurisdiction thereof, the federal district court of the State of Delaware) shall, to the fullest extent permitted by law, be the sole and exclusive forum for (i) any derivative action or proceeding brought on behalf of the Corporation, (ii) any action asserting a claim of breach of a fiduciary duty owed by any current or former director, officer, or stockholder of the Corporation to the Corporation or the Corporation’s stockholders, (iii) any action asserting a claim arising pursuant to any provision of the DGCL or this Restated Certificate of Incorporation or the Bylaws (as either may be amended and/or restated from time to time) or as to which the DGCL confers jurisdiction on the Court of Chancery of the State of Delaware, or (iv) any action asserting a claim governed by the internal affairs doctrine of the law of the State of Delaware. Unless the Corporation selects or consents in writing to the selection of an alternative forum, the federal district courts of the United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States of America shall, to the fullest extent permitted by applicable law, be the exclusive forum for the resolution of any cause of action arising under the federal securities laws of the United States of America, including, in each case, the applicable rules and regulations promulgated thereunder. To the fullest extent permitted by law, any person or entity purchasing or otherwise acquiring or holding any interest in shares of capital stock of the Corporation shall be deemed to have notice of and consented to the provisions of this </w:t>
      </w:r>
      <w:r>
        <w:rPr>
          <w:rFonts w:ascii="Times New Roman" w:hAnsi="Times New Roman"/>
          <w:color w:val="000000"/>
          <w:sz w:val="24"/>
          <w:u w:val="single"/>
        </w:rPr>
        <w:t>Article XII</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Restated Certificate of Incorporation shall become effective at 8:00 p.m. (Eastern Time) on June 3, 2026.</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Corporation has caused this Amended and Restated Certificate of Incorporation to be signed by Susan Rickard Hansen, its General Counsel, this 3rd day of June, 2026.</w:t>
      </w:r>
    </w:p>
    <w:p>
      <w:pPr>
        <w:pStyle w:val="TextBody"/>
        <w:bidi w:val="0"/>
        <w:jc w:val="left"/>
        <w:rPr/>
      </w:pPr>
      <w:r>
        <w:rPr/>
        <w:t> </w:t>
      </w:r>
    </w:p>
    <w:tbl>
      <w:tblPr>
        <w:tblW w:w="3332" w:type="dxa"/>
        <w:jc w:val="left"/>
        <w:tblInd w:w="0" w:type="dxa"/>
        <w:tblLayout w:type="fixed"/>
        <w:tblCellMar>
          <w:top w:w="28" w:type="dxa"/>
          <w:left w:w="28" w:type="dxa"/>
          <w:bottom w:w="28" w:type="dxa"/>
          <w:right w:w="28" w:type="dxa"/>
        </w:tblCellMar>
      </w:tblPr>
      <w:tblGrid>
        <w:gridCol w:w="751"/>
        <w:gridCol w:w="2581"/>
      </w:tblGrid>
      <w:tr>
        <w:trPr/>
        <w:tc>
          <w:tcPr>
            <w:tcW w:w="7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3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LIFTOFF MOBILE, INC.</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Susan Rickard Hansen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Rickard Hansen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4"/>
          <w:u w:val="single"/>
        </w:rPr>
      </w:pPr>
      <w:r>
        <w:rPr>
          <w:rFonts w:ascii="Times New Roman" w:hAnsi="Times New Roman"/>
          <w:b/>
          <w:caps/>
          <w:color w:val="000000"/>
          <w:sz w:val="24"/>
          <w:u w:val="single"/>
        </w:rPr>
        <w:t>Annex A</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STOCKHOLDERS AGREEMENT</w:t>
      </w:r>
    </w:p>
    <w:p>
      <w:pPr>
        <w:pStyle w:val="TextBody"/>
        <w:bidi w:val="0"/>
        <w:spacing w:before="0" w:after="240"/>
        <w:jc w:val="center"/>
        <w:rPr>
          <w:rFonts w:ascii="Times New Roman" w:hAnsi="Times New Roman"/>
          <w:sz w:val="20"/>
        </w:rPr>
      </w:pPr>
      <w:r>
        <w:rPr>
          <w:rFonts w:ascii="Times New Roman" w:hAnsi="Times New Roman"/>
          <w:b/>
          <w:caps/>
          <w:color w:val="000000"/>
          <w:sz w:val="24"/>
        </w:rPr>
        <w:t>DATED AS OF JUNE 3, 2026</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LIFTOFF MOBILE,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BCP Redbird Aggregator 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tbl>
      <w:tblPr>
        <w:tblW w:w="8326" w:type="dxa"/>
        <w:jc w:val="left"/>
        <w:tblInd w:w="0" w:type="dxa"/>
        <w:tblLayout w:type="fixed"/>
        <w:tblCellMar>
          <w:top w:w="28" w:type="dxa"/>
          <w:left w:w="28" w:type="dxa"/>
          <w:bottom w:w="28" w:type="dxa"/>
          <w:right w:w="28" w:type="dxa"/>
        </w:tblCellMar>
      </w:tblPr>
      <w:tblGrid>
        <w:gridCol w:w="2066"/>
        <w:gridCol w:w="4429"/>
        <w:gridCol w:w="1831"/>
      </w:tblGrid>
      <w:tr>
        <w:trPr/>
        <w:tc>
          <w:tcPr>
            <w:tcW w:w="2066" w:type="dxa"/>
            <w:tcBorders/>
            <w:vAlign w:val="center"/>
          </w:tcPr>
          <w:p>
            <w:pPr>
              <w:pStyle w:val="TableContents"/>
              <w:bidi w:val="0"/>
              <w:spacing w:before="0" w:after="283"/>
              <w:jc w:val="left"/>
              <w:rPr>
                <w:sz w:val="4"/>
                <w:szCs w:val="4"/>
              </w:rPr>
            </w:pPr>
            <w:r>
              <w:rPr>
                <w:sz w:val="4"/>
                <w:szCs w:val="4"/>
              </w:rPr>
            </w:r>
          </w:p>
        </w:tc>
        <w:tc>
          <w:tcPr>
            <w:tcW w:w="442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w:t>
            </w:r>
            <w:r>
              <w:rPr>
                <w:rFonts w:ascii="Times New Roman" w:hAnsi="Times New Roman"/>
                <w:color w:val="000000"/>
                <w:sz w:val="24"/>
              </w:rPr>
              <w:t> INTRODUCTORY MATTERS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1.1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Defined Terms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1.2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w:t>
            </w:r>
            <w:r>
              <w:rPr>
                <w:rFonts w:ascii="Times New Roman" w:hAnsi="Times New Roman"/>
                <w:color w:val="000000"/>
                <w:sz w:val="24"/>
              </w:rPr>
              <w:t> CORPORATE GOVERNANCE MATTERS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Election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Board Committees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III.</w:t>
            </w:r>
            <w:r>
              <w:rPr>
                <w:rFonts w:ascii="Times New Roman" w:hAnsi="Times New Roman"/>
                <w:color w:val="000000"/>
                <w:sz w:val="24"/>
              </w:rPr>
              <w:t> INFORMATION; VCOC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VCOC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 Sharing</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IV.</w:t>
            </w:r>
            <w:r>
              <w:rPr>
                <w:rFonts w:ascii="Times New Roman" w:hAnsi="Times New Roman"/>
                <w:color w:val="000000"/>
                <w:sz w:val="24"/>
              </w:rPr>
              <w:t> ADDITIONAL COVENANTS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Pledges or 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Spin-Offs or Split-Offs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 Reimbursement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w:t>
            </w:r>
            <w:r>
              <w:rPr>
                <w:rFonts w:ascii="Times New Roman" w:hAnsi="Times New Roman"/>
                <w:color w:val="000000"/>
                <w:sz w:val="24"/>
              </w:rPr>
              <w:t> INDEMNIFICATION; LIABILITY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of Designating Stockholder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Jointly Indemnifiable 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Non-Exclusive Right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 and Officers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Rights of Designees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VI.</w:t>
            </w:r>
            <w:r>
              <w:rPr>
                <w:rFonts w:ascii="Times New Roman" w:hAnsi="Times New Roman"/>
                <w:color w:val="000000"/>
                <w:sz w:val="24"/>
              </w:rPr>
              <w:t> GENERAL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6.6</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6.7</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6.8</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6.9</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6.10</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and Captions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of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Effectiveness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6.16</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STOCKHOLDERS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Stockholders Agreement is entered into as of June 3, 2026 between Liftoff Mobile,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other parties from time to time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0" w:after="240"/>
        <w:jc w:val="left"/>
        <w:rPr>
          <w:rFonts w:ascii="Times New Roman" w:hAnsi="Times New Roman"/>
          <w:sz w:val="20"/>
        </w:rPr>
      </w:pPr>
      <w:r>
        <w:rPr>
          <w:rFonts w:ascii="Times New Roman" w:hAnsi="Times New Roman"/>
          <w:color w:val="000000"/>
          <w:sz w:val="24"/>
        </w:rPr>
        <w:t>WHEREAS, the Company is effecting an underwritten initial public offering (“</w:t>
      </w:r>
      <w:r>
        <w:rPr>
          <w:rFonts w:ascii="Times New Roman" w:hAnsi="Times New Roman"/>
          <w:color w:val="000000"/>
          <w:sz w:val="24"/>
          <w:u w:val="single"/>
        </w:rPr>
        <w:t>IPO</w:t>
      </w:r>
      <w:r>
        <w:rPr>
          <w:rFonts w:ascii="Times New Roman" w:hAnsi="Times New Roman"/>
          <w:color w:val="000000"/>
          <w:sz w:val="20"/>
        </w:rPr>
        <w:t>”</w:t>
      </w:r>
      <w:r>
        <w:rPr>
          <w:rFonts w:ascii="Times New Roman" w:hAnsi="Times New Roman"/>
          <w:color w:val="000000"/>
          <w:sz w:val="24"/>
        </w:rPr>
        <w:t>) of shares of its Common Stock (as defined below);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the IPO, the Company and the Designating Stockholders (as defined below) wish to set forth certain understandings between such parties, including with respect to certain governance matters.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the parties agree as follows:</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INTRODUCTORY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Defined Terms</w:t>
      </w:r>
      <w:r>
        <w:rPr>
          <w:rFonts w:ascii="Times New Roman" w:hAnsi="Times New Roman"/>
          <w:color w:val="000000"/>
          <w:sz w:val="24"/>
        </w:rPr>
        <w:t>. In addition to the terms defined elsewhere herein, the following terms have the following meanings when used herein with initial capital letters: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has the meaning set forth in Rule 12b-2 promulgated under the Exchange Act, as in effect on the date 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notwithstanding the foregoing, an Affiliate shall not include any Portfolio Company of any Person or the Designating Stockholders and neither the Company nor any of its Affiliates shall be deemed an Affiliate of a Designating Stockholder or its Affiliates or Portfolio Companies.</w:t>
      </w:r>
    </w:p>
    <w:p>
      <w:pPr>
        <w:pStyle w:val="TextBody"/>
        <w:bidi w:val="0"/>
        <w:spacing w:before="0" w:after="24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 this Stockholders Agreement, as the same may be amended, supplemented, restated or otherwise modified from time to time in accordance with the terms hereof.</w:t>
      </w:r>
    </w:p>
    <w:p>
      <w:pPr>
        <w:pStyle w:val="TextBody"/>
        <w:bidi w:val="0"/>
        <w:spacing w:before="0" w:after="240"/>
        <w:jc w:val="left"/>
        <w:rPr/>
      </w:pPr>
      <w:r>
        <w:rPr>
          <w:color w:val="000000"/>
        </w:rPr>
        <w:t>“</w:t>
      </w:r>
      <w:r>
        <w:rPr>
          <w:rFonts w:ascii="Times New Roman" w:hAnsi="Times New Roman"/>
          <w:color w:val="000000"/>
          <w:sz w:val="24"/>
          <w:u w:val="single"/>
        </w:rPr>
        <w:t>Beneficially Own</w:t>
      </w:r>
      <w:r>
        <w:rPr>
          <w:rFonts w:ascii="Times New Roman" w:hAnsi="Times New Roman"/>
          <w:color w:val="000000"/>
          <w:sz w:val="20"/>
        </w:rPr>
        <w:t xml:space="preserve">” </w:t>
      </w:r>
      <w:r>
        <w:rPr>
          <w:rFonts w:ascii="Times New Roman" w:hAnsi="Times New Roman"/>
          <w:color w:val="000000"/>
          <w:sz w:val="24"/>
        </w:rPr>
        <w:t>has the meaning set forth in Rule 13d-3 promulgated under the Exchange Act.</w:t>
      </w:r>
    </w:p>
    <w:p>
      <w:pPr>
        <w:pStyle w:val="TextBody"/>
        <w:bidi w:val="0"/>
        <w:spacing w:before="0" w:after="240"/>
        <w:jc w:val="left"/>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a Sunday, or a holiday on which national banking associations in the State of New York are authorized by law to close.</w:t>
      </w:r>
    </w:p>
    <w:p>
      <w:pPr>
        <w:pStyle w:val="TextBody"/>
        <w:bidi w:val="0"/>
        <w:spacing w:before="0" w:after="240"/>
        <w:jc w:val="left"/>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shares of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pStyle w:val="TextBody"/>
        <w:bidi w:val="0"/>
        <w:spacing w:before="0" w:after="240"/>
        <w:jc w:val="left"/>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 xml:space="preserve">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Confidential Information does not include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that is or has become publicly available other than as a result of a disclosure by a Designating Stockholder or its designated representatives in violation of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(ii) that was already known to a Designating Stockholder or its designated representatives or was in the possession of a Designating Stockholder or its designated representatives prior to its being furnished by or on behalf of the Company or its designated representatives;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that is received by a Designating Stockholder or its designated representatives from a source other than the Company or its designated representatives, </w:t>
      </w:r>
      <w:r>
        <w:rPr>
          <w:rFonts w:ascii="Times New Roman" w:hAnsi="Times New Roman"/>
          <w:i/>
          <w:color w:val="000000"/>
          <w:sz w:val="24"/>
        </w:rPr>
        <w:t>provided</w:t>
      </w:r>
      <w:r>
        <w:rPr>
          <w:rFonts w:ascii="Times New Roman" w:hAnsi="Times New Roman"/>
          <w:color w:val="000000"/>
          <w:sz w:val="24"/>
        </w:rPr>
        <w:t>, that the source of such information was not actually known by a Designating Stockholder or designated representative to be bound by a confidentiality agreement with, or other contractual obligation of confidentiality to,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that was independently developed or acquired by a Designating Stockholder or its designated representatives or on its or their behalf without the violation of the terms of this Agreement.</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0"/>
        </w:rPr>
        <w:t>”</w:t>
      </w:r>
      <w:r>
        <w:rPr>
          <w:rFonts w:ascii="Times New Roman" w:hAnsi="Times New Roman"/>
          <w:color w:val="000000"/>
          <w:sz w:val="24"/>
        </w:rPr>
        <w:t>) means possession, directly or indirectly, of the power to direct or cause the direction of management or policies (whether through ownership of securities or partnership or other ownership interests, by contract or otherwise) of a Person.</w:t>
      </w:r>
    </w:p>
    <w:p>
      <w:pPr>
        <w:pStyle w:val="TextBody"/>
        <w:bidi w:val="0"/>
        <w:spacing w:before="0" w:after="240"/>
        <w:jc w:val="left"/>
        <w:rPr/>
      </w:pPr>
      <w:r>
        <w:rPr>
          <w:color w:val="000000"/>
        </w:rPr>
        <w:t>“</w:t>
      </w:r>
      <w:r>
        <w:rPr>
          <w:rFonts w:ascii="Times New Roman" w:hAnsi="Times New Roman"/>
          <w:color w:val="000000"/>
          <w:sz w:val="24"/>
          <w:u w:val="single"/>
        </w:rPr>
        <w:t>Designating Stockholders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Blackstone</w:t>
      </w:r>
      <w:r>
        <w:rPr>
          <w:rFonts w:ascii="Times New Roman" w:hAnsi="Times New Roman"/>
          <w:color w:val="000000"/>
          <w:sz w:val="20"/>
        </w:rPr>
        <w:t xml:space="preserve">” </w:t>
      </w:r>
      <w:r>
        <w:rPr>
          <w:rFonts w:ascii="Times New Roman" w:hAnsi="Times New Roman"/>
          <w:color w:val="000000"/>
          <w:sz w:val="24"/>
        </w:rPr>
        <w:t xml:space="preserve">means the entities listed on the signature pages hereto under the heading “Designating Stockholders” and each Person that executes a joinder agreement pursuant to </w:t>
      </w:r>
      <w:r>
        <w:rPr>
          <w:rFonts w:ascii="Times New Roman" w:hAnsi="Times New Roman"/>
          <w:color w:val="000000"/>
          <w:sz w:val="24"/>
          <w:u w:val="single"/>
        </w:rPr>
        <w:t>Section 6.5(b)</w:t>
      </w:r>
      <w:r>
        <w:rPr>
          <w:rFonts w:ascii="Times New Roman" w:hAnsi="Times New Roman"/>
          <w:color w:val="000000"/>
          <w:sz w:val="20"/>
        </w:rPr>
        <w:t xml:space="preserve"> </w:t>
      </w:r>
      <w:r>
        <w:rPr>
          <w:rFonts w:ascii="Times New Roman" w:hAnsi="Times New Roman"/>
          <w:color w:val="000000"/>
          <w:sz w:val="24"/>
        </w:rPr>
        <w:t>as a Permitted Transferee.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Designating Stockholder Representative</w:t>
      </w:r>
      <w:r>
        <w:rPr>
          <w:rFonts w:ascii="Times New Roman" w:hAnsi="Times New Roman"/>
          <w:color w:val="000000"/>
          <w:sz w:val="20"/>
        </w:rPr>
        <w:t xml:space="preserve">” </w:t>
      </w:r>
      <w:r>
        <w:rPr>
          <w:rFonts w:ascii="Times New Roman" w:hAnsi="Times New Roman"/>
          <w:color w:val="000000"/>
          <w:sz w:val="24"/>
        </w:rPr>
        <w:t>means the Designating Stockholder, or any group of Designating Stockholders collectively, then holding of record a majority of Total Outstanding Securities held of record by all Designating Stockholders.</w:t>
      </w:r>
    </w:p>
    <w:p>
      <w:pPr>
        <w:pStyle w:val="TextBody"/>
        <w:bidi w:val="0"/>
        <w:spacing w:before="0" w:after="240"/>
        <w:jc w:val="left"/>
        <w:rPr/>
      </w:pPr>
      <w:r>
        <w:rPr>
          <w:color w:val="000000"/>
        </w:rPr>
        <w:t>“</w:t>
      </w:r>
      <w:r>
        <w:rPr>
          <w:rFonts w:ascii="Times New Roman" w:hAnsi="Times New Roman"/>
          <w:color w:val="000000"/>
          <w:sz w:val="24"/>
          <w:u w:val="single"/>
        </w:rPr>
        <w:t>Designee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2.1(a)</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means any director of the Company from time to time.</w:t>
      </w:r>
    </w:p>
    <w:p>
      <w:pPr>
        <w:pStyle w:val="TextBody"/>
        <w:bidi w:val="0"/>
        <w:spacing w:before="0" w:after="240"/>
        <w:jc w:val="left"/>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 as the same may be amended from time to time.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pStyle w:val="TextBody"/>
        <w:bidi w:val="0"/>
        <w:spacing w:before="0" w:after="240"/>
        <w:jc w:val="left"/>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IPO</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NewCo</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Non-Recourse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color w:val="000000"/>
          <w:sz w:val="24"/>
          <w:u w:val="single"/>
        </w:rPr>
        <w:t>Permitted Pledge</w:t>
      </w:r>
      <w:r>
        <w:rPr>
          <w:rFonts w:ascii="Times New Roman" w:hAnsi="Times New Roman"/>
          <w:color w:val="000000"/>
          <w:sz w:val="20"/>
        </w:rPr>
        <w:t xml:space="preserve">” </w:t>
      </w:r>
      <w:r>
        <w:rPr>
          <w:rFonts w:ascii="Times New Roman" w:hAnsi="Times New Roman"/>
          <w:color w:val="000000"/>
          <w:sz w:val="24"/>
        </w:rPr>
        <w:t>means any pledge, hypothecation or grant of security over shares by a Designating Stockholder or any Affiliate thereof with respect to all or any portion of its shares of Common Stock (or any beneficial interest therein) to or in favor of any bank or financial institution as collateral for (i) any loan, advance, extension of credit or (ii) any derivative transaction referencing the Common Stock (including, without limitation, any transaction which transfers some or all of the economic risk of ownership of Common Stock, including any forward contract, equity swap, put or call, put or call equivalent position, collar, sale of exchangeable security or any similar transaction).</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rFonts w:ascii="Times New Roman" w:hAnsi="Times New Roman"/>
          <w:color w:val="000000"/>
          <w:sz w:val="20"/>
        </w:rPr>
        <w:t xml:space="preserve">” </w:t>
      </w:r>
      <w:r>
        <w:rPr>
          <w:rFonts w:ascii="Times New Roman" w:hAnsi="Times New Roman"/>
          <w:color w:val="000000"/>
          <w:sz w:val="24"/>
        </w:rPr>
        <w:t>means with respect to a Designating Stockholder, a Transferee of shares of Common Stock that agrees to become party to, and be bound to the same extent as its transferor, by the terms of this Agreement.</w:t>
      </w:r>
    </w:p>
    <w:p>
      <w:pPr>
        <w:pStyle w:val="TextBody"/>
        <w:bidi w:val="0"/>
        <w:spacing w:before="0" w:after="240"/>
        <w:jc w:val="left"/>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pStyle w:val="TextBody"/>
        <w:bidi w:val="0"/>
        <w:spacing w:before="0" w:after="240"/>
        <w:jc w:val="left"/>
        <w:rPr/>
      </w:pPr>
      <w:r>
        <w:rPr>
          <w:color w:val="000000"/>
        </w:rPr>
        <w:t>“</w:t>
      </w:r>
      <w:r>
        <w:rPr>
          <w:rFonts w:ascii="Times New Roman" w:hAnsi="Times New Roman"/>
          <w:color w:val="000000"/>
          <w:sz w:val="24"/>
          <w:u w:val="single"/>
        </w:rPr>
        <w:t>Plan Asset Regulation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Portfolio Company</w:t>
      </w:r>
      <w:r>
        <w:rPr>
          <w:rFonts w:ascii="Times New Roman" w:hAnsi="Times New Roman"/>
          <w:color w:val="000000"/>
          <w:sz w:val="20"/>
        </w:rPr>
        <w:t xml:space="preserve">” </w:t>
      </w:r>
      <w:r>
        <w:rPr>
          <w:rFonts w:ascii="Times New Roman" w:hAnsi="Times New Roman"/>
          <w:color w:val="000000"/>
          <w:sz w:val="24"/>
        </w:rPr>
        <w:t>means a portfolio company in which such Person or such Person’s investment funds have made a debt or equity investment (and vice versa).</w:t>
      </w:r>
    </w:p>
    <w:p>
      <w:pPr>
        <w:pStyle w:val="TextBody"/>
        <w:bidi w:val="0"/>
        <w:spacing w:before="0" w:after="240"/>
        <w:jc w:val="left"/>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by and among the Company and the other parties thereto, dated on or about the date hereof, as such agreement may be amended and/or restated from time to time.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Restated Certificate of Incorporation</w:t>
      </w:r>
      <w:r>
        <w:rPr>
          <w:rFonts w:ascii="Times New Roman" w:hAnsi="Times New Roman"/>
          <w:color w:val="000000"/>
          <w:sz w:val="20"/>
        </w:rPr>
        <w:t xml:space="preserve">” </w:t>
      </w:r>
      <w:r>
        <w:rPr>
          <w:rFonts w:ascii="Times New Roman" w:hAnsi="Times New Roman"/>
          <w:color w:val="000000"/>
          <w:sz w:val="24"/>
        </w:rPr>
        <w:t>means the Amended and Restated Certificate of Incorporation of the Company, dated on or about the date hereof, as such certificate may be amended and/or restated from time to time.</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pStyle w:val="TextBody"/>
        <w:bidi w:val="0"/>
        <w:spacing w:before="0" w:after="240"/>
        <w:jc w:val="left"/>
        <w:rPr/>
      </w:pPr>
      <w:r>
        <w:rPr>
          <w:color w:val="000000"/>
        </w:rPr>
        <w:t>“</w:t>
      </w:r>
      <w:r>
        <w:rPr>
          <w:rFonts w:ascii="Times New Roman" w:hAnsi="Times New Roman"/>
          <w:color w:val="000000"/>
          <w:sz w:val="24"/>
          <w:u w:val="single"/>
        </w:rPr>
        <w:t>Total Number of Directors</w:t>
      </w:r>
      <w:r>
        <w:rPr>
          <w:rFonts w:ascii="Times New Roman" w:hAnsi="Times New Roman"/>
          <w:color w:val="000000"/>
          <w:sz w:val="20"/>
        </w:rPr>
        <w:t xml:space="preserve">” </w:t>
      </w:r>
      <w:r>
        <w:rPr>
          <w:rFonts w:ascii="Times New Roman" w:hAnsi="Times New Roman"/>
          <w:color w:val="000000"/>
          <w:sz w:val="24"/>
        </w:rPr>
        <w:t>means the total number of directors comprising the Board from time to time.</w:t>
      </w:r>
    </w:p>
    <w:p>
      <w:pPr>
        <w:pStyle w:val="TextBody"/>
        <w:bidi w:val="0"/>
        <w:spacing w:before="0" w:after="240"/>
        <w:jc w:val="left"/>
        <w:rPr/>
      </w:pPr>
      <w:r>
        <w:rPr>
          <w:color w:val="000000"/>
        </w:rPr>
        <w:t>“</w:t>
      </w:r>
      <w:r>
        <w:rPr>
          <w:rFonts w:ascii="Times New Roman" w:hAnsi="Times New Roman"/>
          <w:color w:val="000000"/>
          <w:sz w:val="24"/>
          <w:u w:val="single"/>
        </w:rPr>
        <w:t>Total Outstanding Securities</w:t>
      </w:r>
      <w:r>
        <w:rPr>
          <w:rFonts w:ascii="Times New Roman" w:hAnsi="Times New Roman"/>
          <w:color w:val="000000"/>
          <w:sz w:val="20"/>
        </w:rPr>
        <w:t xml:space="preserve">” </w:t>
      </w:r>
      <w:r>
        <w:rPr>
          <w:rFonts w:ascii="Times New Roman" w:hAnsi="Times New Roman"/>
          <w:color w:val="000000"/>
          <w:sz w:val="24"/>
        </w:rPr>
        <w:t>means, at any time, the total number of outstanding shares of Common Stock.</w:t>
      </w:r>
    </w:p>
    <w:p>
      <w:pPr>
        <w:pStyle w:val="TextBody"/>
        <w:bidi w:val="0"/>
        <w:spacing w:before="0" w:after="240"/>
        <w:jc w:val="left"/>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Transferor</w:t>
      </w:r>
      <w:r>
        <w:rPr>
          <w:rFonts w:ascii="Times New Roman" w:hAnsi="Times New Roman"/>
          <w:color w:val="000000"/>
          <w:sz w:val="24"/>
        </w:rPr>
        <w:t>,” “</w:t>
      </w:r>
      <w:r>
        <w:rPr>
          <w:rFonts w:ascii="Times New Roman" w:hAnsi="Times New Roman"/>
          <w:color w:val="000000"/>
          <w:sz w:val="24"/>
          <w:u w:val="single"/>
        </w:rPr>
        <w:t>Transferee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Transferred</w:t>
      </w:r>
      <w:r>
        <w:rPr>
          <w:rFonts w:ascii="Times New Roman" w:hAnsi="Times New Roman"/>
          <w:color w:val="000000"/>
          <w:sz w:val="20"/>
        </w:rPr>
        <w:t>”</w:t>
      </w:r>
      <w:r>
        <w:rPr>
          <w:rFonts w:ascii="Times New Roman" w:hAnsi="Times New Roman"/>
          <w:color w:val="000000"/>
          <w:sz w:val="24"/>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shall have such correlative meaning as the context may require. For the avoidance of doubt, it is understood that a Permitted Pledge shall not be a Transfer and the bank or financial institution in respect of whom the Permitted Pledge is made shall not be treated as a transferee or entitled to any rights under this Agreement as a result of such Permitted Pledge or any foreclosure thereunder.</w:t>
      </w:r>
    </w:p>
    <w:p>
      <w:pPr>
        <w:pStyle w:val="TextBody"/>
        <w:bidi w:val="0"/>
        <w:spacing w:before="0" w:after="240"/>
        <w:jc w:val="left"/>
        <w:rPr/>
      </w:pPr>
      <w:r>
        <w:rPr>
          <w:color w:val="000000"/>
        </w:rPr>
        <w:t>“</w:t>
      </w:r>
      <w:r>
        <w:rPr>
          <w:rFonts w:ascii="Times New Roman" w:hAnsi="Times New Roman"/>
          <w:color w:val="000000"/>
          <w:sz w:val="24"/>
          <w:u w:val="single"/>
        </w:rPr>
        <w:t>VCOC Investor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Construction</w:t>
      </w:r>
      <w:r>
        <w:rPr>
          <w:rFonts w:ascii="Times New Roman" w:hAnsi="Times New Roman"/>
          <w:color w:val="000000"/>
          <w:sz w:val="24"/>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CORPORATE GOVERNANCE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Election of Directors</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 The Designating Stockholder Representative shall have the right, but not the obligation, to designate a number of individuals serving as Directors of the Company equal to: (i) if the Designating Stockholders and their Affiliates collectively Beneficially Own 50% or more of the Total Outstanding Securities, the lowest whole number that is greater than 50% of the Total Number of Directors; (ii) if the Designating Stockholders and their Affiliates collectively Beneficially Own at least 40% (but less than 50%) of the Total Outstanding Securities, the lowest whole number that is greater than 40% of the Total Number of Directors; (iii) if the Designating Stockholders and their Affiliates collectively Beneficially Own at least 30% (but less than 40%) of the Total Outstanding Securities, the lowest whole number that is greater than 30% of the Total Number of Directors; (iv) if the Designating Stockholders and their Affiliates collectively Beneficially Own at least 20% (but less than 30%) of the Total Outstanding Securities, the lowest whole number that is greater than 20% of the Total Number of Directors; and (v) if the Designating Stockholders and their Affiliates collectively Beneficially Own at least 5% (but less than 20%) of the Total Outstanding Securities, the lowest whole number (such number always being equal to or greater than one) that is greater than 10% of the Total Number of Directors (in each case, each such person a “ Designee”).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Designating Stockholders and their Affiliates collectively Beneficially Own at least 2% of the Total Outstanding Securities, the Designating Stockholder Representative may designate one (1) non-voting observer to attend meetings of the Board. Except to the extent that the Board determines in its reasonable discretion that the receipt of such materials would prevent the Company from asserting attorney-client privilege, such non-voting observer shall have the same right to receive at the same time and in the same manner as a Director copies of all materials (including copies of all resolutions, consents and meeting minutes) given 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The non-voting observer may be required by the Board to temporarily leave a meeting of the Board if the presence of the non-voting observer would prevent the Company from asserting attorney-client privilege with respect to matters discussed before the Board at such time.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If at any time the Designating Stockholder Representative has designated fewer than the total number of individuals that it is then entitled to designate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hAnsi="Times New Roman"/>
          <w:color w:val="000000"/>
          <w:sz w:val="24"/>
          <w:u w:val="single"/>
        </w:rPr>
        <w:t>Section 2.1(c)</w:t>
      </w:r>
      <w:r>
        <w:rPr>
          <w:rFonts w:ascii="Times New Roman" w:hAnsi="Times New Roman"/>
          <w:color w:val="000000"/>
          <w:sz w:val="24"/>
        </w:rPr>
        <w:t>, the Total Number of Directors shall be automatically increased to enable the appointment of such individual as a Designee. The Company will ensure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all times during the term of this Agreement that its Restated Certificate of Incorporation and bylaws will not contain any limitation on the number of authorized Directors that would prevent it from complying with the foregoing sentence.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Directors are subject to removal or disqualification pursuant to the applicable provisions of the Restated Certificate of Incorporation and applicable law; </w:t>
      </w:r>
      <w:r>
        <w:rPr>
          <w:rFonts w:ascii="Times New Roman" w:hAnsi="Times New Roman"/>
          <w:i/>
          <w:color w:val="000000"/>
          <w:sz w:val="24"/>
        </w:rPr>
        <w:t>provided, however</w:t>
      </w:r>
      <w:r>
        <w:rPr>
          <w:rFonts w:ascii="Times New Roman" w:hAnsi="Times New Roman"/>
          <w:color w:val="000000"/>
          <w:sz w:val="24"/>
        </w:rPr>
        <w:t xml:space="preserve">, for as long as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Stockholders entitled to designate or cause the appointment of such Designee.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Notwithstanding anything to the contrary set forth in the Restated Certificate of Incorporation or bylaws,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hAnsi="Times New Roman"/>
          <w:color w:val="000000"/>
          <w:sz w:val="24"/>
          <w:u w:val="single"/>
        </w:rPr>
        <w:t>Section 2.1(c)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2.1(g)</w:t>
      </w:r>
      <w:r>
        <w:rPr>
          <w:rFonts w:ascii="Times New Roman" w:hAnsi="Times New Roman"/>
          <w:color w:val="000000"/>
          <w:sz w:val="20"/>
        </w:rPr>
        <w:t xml:space="preserve"> </w:t>
      </w:r>
      <w:r>
        <w:rPr>
          <w:rFonts w:ascii="Times New Roman" w:hAnsi="Times New Roman"/>
          <w:color w:val="000000"/>
          <w:sz w:val="24"/>
        </w:rPr>
        <w:t>hereof, the Designating Stockholder Representative shall have the power, at its election, to appoint or cause to be appointed a new Designee to fill such vacancy or the newly created directorship resulting from such increase.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In the event that any Designee shall fail to be elected to the Board at any meeting of stockholders called for the purpose of electing directors (or consent in lieu of meeting),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hAnsi="Times New Roman"/>
          <w:color w:val="000000"/>
          <w:sz w:val="24"/>
          <w:u w:val="single"/>
        </w:rPr>
        <w:t>Section 2.1(g)</w:t>
      </w:r>
      <w:r>
        <w:rPr>
          <w:rFonts w:ascii="Times New Roman" w:hAnsi="Times New Roman"/>
          <w:color w:val="000000"/>
          <w:sz w:val="24"/>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hAnsi="Times New Roman"/>
          <w:color w:val="000000"/>
          <w:sz w:val="24"/>
          <w:u w:val="single"/>
        </w:rPr>
        <w:t>Section 2.1</w:t>
      </w:r>
      <w:r>
        <w:rPr>
          <w:rFonts w:ascii="Times New Roman" w:hAnsi="Times New Roman"/>
          <w:color w:val="000000"/>
          <w:sz w:val="24"/>
        </w:rPr>
        <w:t xml:space="preserve">, including its right to designate a Designee for election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in connection with any future election of directors of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Compensation</w:t>
      </w:r>
      <w:r>
        <w:rPr>
          <w:rFonts w:ascii="Times New Roman" w:hAnsi="Times New Roman"/>
          <w:color w:val="000000"/>
          <w:sz w:val="24"/>
        </w:rPr>
        <w:t xml:space="preserve">. Except to the extent the Designating Stockholder Representative may otherwise notify the Company and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Designees shall be entitled to compensation consistent with the compensation received by other non-employee Directors, including any fees and equity awards, </w:t>
      </w:r>
      <w:r>
        <w:rPr>
          <w:rFonts w:ascii="Times New Roman" w:hAnsi="Times New Roman"/>
          <w:i/>
          <w:color w:val="000000"/>
          <w:sz w:val="24"/>
        </w:rPr>
        <w:t>provided</w:t>
      </w:r>
      <w:r>
        <w:rPr>
          <w:rFonts w:ascii="Times New Roman" w:hAnsi="Times New Roman"/>
          <w:color w:val="000000"/>
          <w:sz w:val="24"/>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Board Committees</w:t>
      </w:r>
      <w:r>
        <w:rPr>
          <w:rFonts w:ascii="Times New Roman" w:hAnsi="Times New Roman"/>
          <w:color w:val="000000"/>
          <w:sz w:val="24"/>
        </w:rPr>
        <w:t xml:space="preserve">.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to the extent permitted by Law, the Restated Certificate of Incorporation and the rules of any stock exchange on which the Common Stock is listed for trading, and subject to requisite independence or other eligibility requirements applicable to such committee, the Designating Stockholder Representative shall have the right, but not the obligation, to appoint (or cause to be appointed) at least one (1) Designee to each committee of the Board, other than the Litigation Demand Committee.</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III.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INFORMATION; VCOC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Books and Records; Access</w:t>
      </w:r>
      <w:r>
        <w:rPr>
          <w:rFonts w:ascii="Times New Roman" w:hAnsi="Times New Roman"/>
          <w:color w:val="000000"/>
          <w:sz w:val="24"/>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(all such information so furnished pursuant to this </w:t>
      </w:r>
      <w:r>
        <w:rPr>
          <w:rFonts w:ascii="Times New Roman" w:hAnsi="Times New Roman"/>
          <w:color w:val="000000"/>
          <w:sz w:val="24"/>
          <w:u w:val="single"/>
        </w:rPr>
        <w:t>Section 3.1</w:t>
      </w:r>
      <w:r>
        <w:rPr>
          <w:rFonts w:ascii="Times New Roman" w:hAnsi="Times New Roman"/>
          <w:color w:val="000000"/>
          <w:sz w:val="24"/>
        </w:rPr>
        <w:t>, the “</w:t>
      </w:r>
      <w:r>
        <w:rPr>
          <w:rFonts w:ascii="Times New Roman" w:hAnsi="Times New Roman"/>
          <w:color w:val="000000"/>
          <w:sz w:val="24"/>
          <w:u w:val="single"/>
        </w:rPr>
        <w:t>Information</w:t>
      </w:r>
      <w:r>
        <w:rPr>
          <w:rFonts w:ascii="Times New Roman" w:hAnsi="Times New Roman"/>
          <w:color w:val="000000"/>
          <w:sz w:val="20"/>
        </w:rPr>
        <w:t>”</w:t>
      </w:r>
      <w:r>
        <w:rPr>
          <w:rFonts w:ascii="Times New Roman" w:hAnsi="Times New Roman"/>
          <w:color w:val="000000"/>
          <w:sz w:val="24"/>
        </w:rPr>
        <w:t xml:space="preserve">). Subject to </w:t>
      </w:r>
      <w:r>
        <w:rPr>
          <w:rFonts w:ascii="Times New Roman" w:hAnsi="Times New Roman"/>
          <w:color w:val="000000"/>
          <w:sz w:val="24"/>
          <w:u w:val="single"/>
        </w:rPr>
        <w:t>Section 3.4</w:t>
      </w:r>
      <w:r>
        <w:rPr>
          <w:rFonts w:ascii="Times New Roman" w:hAnsi="Times New Roman"/>
          <w:color w:val="000000"/>
          <w:sz w:val="24"/>
        </w:rPr>
        <w:t>,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arrangement pursuant to which it may provide such information to the Designating Stockholders without the loss of any such privilege. The information rights pursuant to this </w:t>
      </w:r>
      <w:r>
        <w:rPr>
          <w:rFonts w:ascii="Times New Roman" w:hAnsi="Times New Roman"/>
          <w:color w:val="000000"/>
          <w:sz w:val="24"/>
          <w:u w:val="single"/>
        </w:rPr>
        <w:t xml:space="preserve">Section 3.1 </w:t>
      </w:r>
      <w:r>
        <w:rPr>
          <w:rFonts w:ascii="Times New Roman" w:hAnsi="Times New Roman"/>
          <w:color w:val="000000"/>
          <w:sz w:val="24"/>
        </w:rPr>
        <w:t>shall terminate at the time the Designating Stockholders and their Affiliates collectively Beneficially Own less than 1% of the Total Outstanding Securities. The Designating Stockholders may elect from time to time by written notice to the Company not to have such information rights for a predetermined period of time (which may be indefinite).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Certain Reports</w:t>
      </w:r>
      <w:r>
        <w:rPr>
          <w:rFonts w:ascii="Times New Roman" w:hAnsi="Times New Roman"/>
          <w:color w:val="000000"/>
          <w:sz w:val="24"/>
        </w:rPr>
        <w:t>. Until such time as the Designating Stockholders and their Affiliates collectively Beneficially Own less than 1% of the Total Outstanding Securities, the Company shall deliver or cause to be delivered to the Designating Stockholders, at their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the extent otherwise prepared by the Company, operating and capital expenditure budgets and periodic information packages relating to the operations and cash flows of the Company and its Subsidiaries; and</w:t>
      </w:r>
    </w:p>
    <w:p>
      <w:pPr>
        <w:pStyle w:val="TextBody"/>
        <w:bidi w:val="0"/>
        <w:spacing w:before="0" w:after="240"/>
        <w:jc w:val="left"/>
        <w:rPr>
          <w:rFonts w:ascii="Times New Roman" w:hAnsi="Times New Roman"/>
          <w:sz w:val="20"/>
        </w:rPr>
      </w:pPr>
      <w:r>
        <w:rPr>
          <w:rFonts w:ascii="Times New Roman" w:hAnsi="Times New Roman"/>
          <w:color w:val="000000"/>
          <w:sz w:val="24"/>
        </w:rPr>
        <w:t>(b) to the extent otherwise prepared by the Company, such other reports and information as may be reasonably requested by the Designating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that in the cases of clauses (a) and (b),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VCOC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hAnsi="Times New Roman"/>
          <w:color w:val="000000"/>
          <w:sz w:val="24"/>
          <w:u w:val="single"/>
        </w:rPr>
        <w:t>Plan Asset Regulation</w:t>
      </w:r>
      <w:r>
        <w:rPr>
          <w:rFonts w:ascii="Times New Roman" w:hAnsi="Times New Roman"/>
          <w:color w:val="000000"/>
          <w:sz w:val="20"/>
        </w:rPr>
        <w:t>”</w:t>
      </w:r>
      <w:r>
        <w:rPr>
          <w:rFonts w:ascii="Times New Roman" w:hAnsi="Times New Roman"/>
          <w:color w:val="000000"/>
          <w:sz w:val="24"/>
        </w:rPr>
        <w:t>) (each, a “</w:t>
      </w:r>
      <w:r>
        <w:rPr>
          <w:rFonts w:ascii="Times New Roman" w:hAnsi="Times New Roman"/>
          <w:color w:val="000000"/>
          <w:sz w:val="24"/>
          <w:u w:val="single"/>
        </w:rPr>
        <w:t>VCOC Investor</w:t>
      </w:r>
      <w:r>
        <w:rPr>
          <w:rFonts w:ascii="Times New Roman" w:hAnsi="Times New Roman"/>
          <w:color w:val="000000"/>
          <w:sz w:val="20"/>
        </w:rPr>
        <w:t>”</w:t>
      </w:r>
      <w:r>
        <w:rPr>
          <w:rFonts w:ascii="Times New Roman" w:hAnsi="Times New Roman"/>
          <w:color w:val="000000"/>
          <w:sz w:val="24"/>
        </w:rPr>
        <w:t>, and together, the “</w:t>
      </w:r>
      <w:r>
        <w:rPr>
          <w:rFonts w:ascii="Times New Roman" w:hAnsi="Times New Roman"/>
          <w:color w:val="000000"/>
          <w:sz w:val="24"/>
          <w:u w:val="single"/>
        </w:rPr>
        <w:t>VCOC Investors</w:t>
      </w:r>
      <w:r>
        <w:rPr>
          <w:rFonts w:ascii="Times New Roman" w:hAnsi="Times New Roman"/>
          <w:color w:val="000000"/>
          <w:sz w:val="20"/>
        </w:rPr>
        <w:t>”</w:t>
      </w:r>
      <w:r>
        <w:rPr>
          <w:rFonts w:ascii="Times New Roman" w:hAnsi="Times New Roman"/>
          <w:color w:val="000000"/>
          <w:sz w:val="24"/>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 each VCOC Investor or its designated representative with:</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4"/>
        </w:rPr>
        <w:t>upon reasonable notice and at mutually convenient times, the right to visit and inspect any of the offices and properties of the Company and its Subsidiaries and inspect and copy the books and records of the Company and its Subsidiaries;</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4"/>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(C) </w:t>
      </w:r>
      <w:r>
        <w:rPr>
          <w:rFonts w:ascii="Times New Roman" w:hAnsi="Times New Roman"/>
          <w:color w:val="000000"/>
          <w:sz w:val="24"/>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(D) </w:t>
      </w:r>
      <w:r>
        <w:rPr>
          <w:rFonts w:ascii="Times New Roman" w:hAnsi="Times New Roman"/>
          <w:color w:val="000000"/>
          <w:sz w:val="24"/>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(E) </w:t>
      </w:r>
      <w:r>
        <w:rPr>
          <w:rFonts w:ascii="Times New Roman" w:hAnsi="Times New Roman"/>
          <w:color w:val="000000"/>
          <w:sz w:val="24"/>
        </w:rPr>
        <w:t xml:space="preserve">upon written request by a VCOC Investor, copies of all materials provided to the Board, subject to appropriate protections with respect to confidentiality and preservation of attorney-client privilege; </w:t>
      </w:r>
      <w:r>
        <w:rPr>
          <w:rFonts w:ascii="Times New Roman" w:hAnsi="Times New Roman"/>
          <w:i/>
          <w:color w:val="000000"/>
          <w:sz w:val="24"/>
        </w:rPr>
        <w:t>provided</w:t>
      </w:r>
      <w:r>
        <w:rPr>
          <w:rFonts w:ascii="Times New Roman" w:hAnsi="Times New Roman"/>
          <w:color w:val="000000"/>
          <w:sz w:val="24"/>
        </w:rPr>
        <w:t xml:space="preserve">, that, in each case, if the Company makes the information described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3.3(a)(i)</w:t>
      </w:r>
      <w:r>
        <w:rPr>
          <w:rFonts w:ascii="Times New Roman" w:hAnsi="Times New Roman"/>
          <w:color w:val="000000"/>
          <w:sz w:val="20"/>
        </w:rPr>
        <w:t xml:space="preserve"> </w:t>
      </w:r>
      <w:r>
        <w:rPr>
          <w:rFonts w:ascii="Times New Roman" w:hAnsi="Times New Roman"/>
          <w:color w:val="000000"/>
          <w:sz w:val="24"/>
        </w:rPr>
        <w:t>available through public filings on the EDGAR System or any successor or replacement system of the U.S. Securities and Exchange Commission, the requirement to deliver such information shall be deemed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The Company agrees to consider, in good faith, the recommendations of each VCOC Investor or its designated representative in connection with the matters on which it is consulted as described above in this </w:t>
      </w:r>
      <w:r>
        <w:rPr>
          <w:rFonts w:ascii="Times New Roman" w:hAnsi="Times New Roman"/>
          <w:color w:val="000000"/>
          <w:sz w:val="24"/>
          <w:u w:val="single"/>
        </w:rPr>
        <w:t>Section 3.3</w:t>
      </w:r>
      <w:r>
        <w:rPr>
          <w:rFonts w:ascii="Times New Roman" w:hAnsi="Times New Roman"/>
          <w:color w:val="000000"/>
          <w:sz w:val="24"/>
        </w:rPr>
        <w:t>, recognizing that the ultimate discretion with respect to all such matters shall be retained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(c) In the event a VCOC Investor or any of its Affiliates Transfers all or any portion of their investment in the Company to an affiliated entity that is intended to qualify its investment in the Company as a “venture capital investment” (as defined in the Plan Asset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Regulation), such Transferee shall be afforded the same rights with respect to the Company afforded to such VCOC Investor hereunder and shall be treated, for such purposes, as a third party beneficiary 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hAnsi="Times New Roman"/>
          <w:color w:val="000000"/>
          <w:sz w:val="24"/>
          <w:u w:val="single"/>
        </w:rPr>
        <w:t>Sections 3.3(a)</w:t>
      </w:r>
      <w:r>
        <w:rPr>
          <w:rFonts w:ascii="Times New Roman" w:hAnsi="Times New Roman"/>
          <w:color w:val="000000"/>
          <w:sz w:val="24"/>
        </w:rPr>
        <w:t xml:space="preserve">, </w:t>
      </w:r>
      <w:r>
        <w:rPr>
          <w:rFonts w:ascii="Times New Roman" w:hAnsi="Times New Roman"/>
          <w:color w:val="000000"/>
          <w:sz w:val="24"/>
          <w:u w:val="single"/>
        </w:rPr>
        <w:t>3.3(b)</w:t>
      </w:r>
      <w:r>
        <w:rPr>
          <w:rFonts w:ascii="Times New Roman" w:hAnsi="Times New Roman"/>
          <w:color w:val="000000"/>
          <w:sz w:val="24"/>
        </w:rPr>
        <w:t xml:space="preserve">, and </w:t>
      </w:r>
      <w:r>
        <w:rPr>
          <w:rFonts w:ascii="Times New Roman" w:hAnsi="Times New Roman"/>
          <w:color w:val="000000"/>
          <w:sz w:val="24"/>
          <w:u w:val="single"/>
        </w:rPr>
        <w:t>3.3(c)</w:t>
      </w:r>
      <w:r>
        <w:rPr>
          <w:rFonts w:ascii="Times New Roman" w:hAnsi="Times New Roman"/>
          <w:color w:val="000000"/>
          <w:sz w:val="20"/>
        </w:rPr>
        <w:t xml:space="preserve"> </w:t>
      </w:r>
      <w:r>
        <w:rPr>
          <w:rFonts w:ascii="Times New Roman" w:hAnsi="Times New Roman"/>
          <w:color w:val="000000"/>
          <w:sz w:val="24"/>
        </w:rPr>
        <w:t>hereof in a form and substance satisfactory to such VCOC Investor.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In the event a VCOC Investor is an Affiliate of a Designating Stockholder, as described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 xml:space="preserve">above, such affiliated entity shall be afforded the same rights with respect to the Company and afforded to the Designating Stockholders under this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and shall be treated, for such purposes, as a third party beneficiary hereunder.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Confidentiality</w:t>
      </w:r>
      <w:r>
        <w:rPr>
          <w:rFonts w:ascii="Times New Roman" w:hAnsi="Times New Roman"/>
          <w:color w:val="000000"/>
          <w:sz w:val="24"/>
        </w:rPr>
        <w:t xml:space="preserve">. Each Designating Stockholder agrees that it will, and will direct its designated representatives to, keep confidential and not disclose any Confidential Information;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that such Designating Stockholder and its designated representatives may disclose Confidential Information to any other Designating Stockholders (including any Designating Stockholders, Designees, or non-voting observers pursuant to any other stockholders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hAnsi="Times New Roman"/>
          <w:i/>
          <w:color w:val="000000"/>
          <w:sz w:val="24"/>
        </w:rPr>
        <w:t>provided</w:t>
      </w:r>
      <w:r>
        <w:rPr>
          <w:rFonts w:ascii="Times New Roman" w:hAnsi="Times New Roman"/>
          <w:color w:val="000000"/>
          <w:sz w:val="24"/>
        </w:rPr>
        <w:t xml:space="preserve">, that such Designating Stockholder or designated representative takes reasonable steps to minimize the extent of any such required disclosure,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each Designating Stockholder agrees to be responsible for any breaches of this </w:t>
      </w: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rPr>
        <w:t>by such Designating Stockholder’s designated representatives.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Information Sharing</w:t>
      </w:r>
      <w:r>
        <w:rPr>
          <w:rFonts w:ascii="Times New Roman" w:hAnsi="Times New Roman"/>
          <w:color w:val="000000"/>
          <w:sz w:val="24"/>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hAnsi="Times New Roman"/>
          <w:color w:val="000000"/>
          <w:sz w:val="24"/>
          <w:u w:val="single"/>
        </w:rPr>
        <w:t>Section 3.4</w:t>
      </w:r>
      <w:r>
        <w:rPr>
          <w:rFonts w:ascii="Times New Roman" w:hAnsi="Times New Roman"/>
          <w:color w:val="000000"/>
          <w:sz w:val="24"/>
        </w:rPr>
        <w:t>).</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IV.</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ADDITIONAL COVENANTS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Pledges or Transfers</w:t>
      </w:r>
      <w:r>
        <w:rPr>
          <w:rFonts w:ascii="Times New Roman" w:hAnsi="Times New Roman"/>
          <w:color w:val="000000"/>
          <w:sz w:val="24"/>
        </w:rPr>
        <w:t>. Subject to any applicable limitations set forth in the Registration Rights Agreement, upon the request of any Designating Stockholder that wishes to (x) pledge, hypothecate or grant security interests in any or all of the shares of Common Stock held by it including to banks or financial institutions as collateral or security for loans, advances or extensions of credit or (y) Transfer any or all of the shares of Common Stock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Spin-Offs or Split-Offs</w:t>
      </w:r>
      <w:r>
        <w:rPr>
          <w:rFonts w:ascii="Times New Roman" w:hAnsi="Times New Roman"/>
          <w:color w:val="000000"/>
          <w:sz w:val="24"/>
        </w:rPr>
        <w:t>. In the event that the Company effects the separation of any portion of its business into one or more entities (each, a “</w:t>
      </w:r>
      <w:r>
        <w:rPr>
          <w:rFonts w:ascii="Times New Roman" w:hAnsi="Times New Roman"/>
          <w:color w:val="000000"/>
          <w:sz w:val="24"/>
          <w:u w:val="single"/>
        </w:rPr>
        <w:t>NewCo</w:t>
      </w:r>
      <w:r>
        <w:rPr>
          <w:rFonts w:ascii="Times New Roman" w:hAnsi="Times New Roman"/>
          <w:color w:val="000000"/>
          <w:sz w:val="20"/>
        </w:rPr>
        <w:t>”</w:t>
      </w:r>
      <w:r>
        <w:rPr>
          <w:rFonts w:ascii="Times New Roman" w:hAnsi="Times New Roman"/>
          <w:color w:val="000000"/>
          <w:sz w:val="24"/>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stockholders agreement with the Designating Stockholders that provides the Designating Stockholders with rights vis-à-vis such NewCo that are substantially identical to those set forth in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Expense Reimbursement</w:t>
      </w:r>
      <w:r>
        <w:rPr>
          <w:rFonts w:ascii="Times New Roman" w:hAnsi="Times New Roman"/>
          <w:color w:val="000000"/>
          <w:sz w:val="24"/>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respective Affiliates in, or financing by any of them of, the Company or any of its Subsidiaries (subject to any applicable limitations on expense reimbursement rights expressly set forth in such agreements). All payments or reimbursement for such expenses will be made by wire transfer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V.</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INDEMNIFICATION; LIABILITY INSURANCE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Indemnification of Designating Stockholder</w:t>
      </w:r>
      <w:r>
        <w:rPr>
          <w:rFonts w:ascii="Times New Roman" w:hAnsi="Times New Roman"/>
          <w:color w:val="000000"/>
          <w:sz w:val="24"/>
        </w:rPr>
        <w:t>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hAnsi="Times New Roman"/>
          <w:color w:val="000000"/>
          <w:sz w:val="24"/>
          <w:u w:val="single"/>
        </w:rPr>
        <w:t>Indemnitees</w:t>
      </w:r>
      <w:r>
        <w:rPr>
          <w:rFonts w:ascii="Times New Roman" w:hAnsi="Times New Roman"/>
          <w:color w:val="000000"/>
          <w:sz w:val="20"/>
        </w:rPr>
        <w:t>”</w:t>
      </w:r>
      <w:r>
        <w:rPr>
          <w:rFonts w:ascii="Times New Roman" w:hAnsi="Times New Roman"/>
          <w:color w:val="000000"/>
          <w:sz w:val="24"/>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hAnsi="Times New Roman"/>
          <w:color w:val="000000"/>
          <w:sz w:val="24"/>
          <w:u w:val="single"/>
        </w:rPr>
        <w:t>Indemnified Liabilities</w:t>
      </w:r>
      <w:r>
        <w:rPr>
          <w:rFonts w:ascii="Times New Roman" w:hAnsi="Times New Roman"/>
          <w:color w:val="000000"/>
          <w:sz w:val="20"/>
        </w:rPr>
        <w:t>”</w:t>
      </w:r>
      <w:r>
        <w:rPr>
          <w:rFonts w:ascii="Times New Roman" w:hAnsi="Times New Roman"/>
          <w:color w:val="000000"/>
          <w:sz w:val="24"/>
        </w:rPr>
        <w:t>), arising out of any action, cause of action, suit, litigation, investigation, inquiry, arbitration or claim by any Person (other than the Company or any of its Subsidiaries) against any Indemnitee (each, an “</w:t>
      </w:r>
      <w:r>
        <w:rPr>
          <w:rFonts w:ascii="Times New Roman" w:hAnsi="Times New Roman"/>
          <w:color w:val="000000"/>
          <w:sz w:val="24"/>
          <w:u w:val="single"/>
        </w:rPr>
        <w:t>Action</w:t>
      </w:r>
      <w:r>
        <w:rPr>
          <w:rFonts w:ascii="Times New Roman" w:hAnsi="Times New Roman"/>
          <w:color w:val="000000"/>
          <w:sz w:val="20"/>
        </w:rPr>
        <w:t>”</w:t>
      </w:r>
      <w:r>
        <w:rPr>
          <w:rFonts w:ascii="Times New Roman" w:hAnsi="Times New Roman"/>
          <w:color w:val="000000"/>
          <w:sz w:val="24"/>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indemnification rights in this </w:t>
      </w:r>
      <w:r>
        <w:rPr>
          <w:rFonts w:ascii="Times New Roman" w:hAnsi="Times New Roman"/>
          <w:color w:val="000000"/>
          <w:sz w:val="24"/>
          <w:u w:val="single"/>
        </w:rPr>
        <w:t>Section 5.1(a)</w:t>
      </w:r>
      <w:r>
        <w:rPr>
          <w:rFonts w:ascii="Times New Roman" w:hAnsi="Times New Roman"/>
          <w:color w:val="000000"/>
          <w:sz w:val="20"/>
        </w:rPr>
        <w:t xml:space="preserve"> </w:t>
      </w:r>
      <w:r>
        <w:rPr>
          <w:rFonts w:ascii="Times New Roman" w:hAnsi="Times New Roman"/>
          <w:color w:val="000000"/>
          <w:sz w:val="24"/>
        </w:rPr>
        <w:t xml:space="preserve">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 xml:space="preserve">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hAnsi="Times New Roman"/>
          <w:color w:val="000000"/>
          <w:sz w:val="24"/>
          <w:u w:val="single"/>
        </w:rPr>
        <w:t>Section 5.1</w:t>
      </w:r>
      <w:r>
        <w:rPr>
          <w:rFonts w:ascii="Times New Roman" w:hAnsi="Times New Roman"/>
          <w:color w:val="000000"/>
          <w:sz w:val="24"/>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To the fullest extent permitted by law, the Company will, and will cause its Subsidiaries to, jointly and severally, reimburse any Indemnitee for all reasonable costs and expenses (including reasonable attorneys’ fees and expenses and any other litigation-related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expenses) as they are incurred in connection with investigating, preparing, pursuing, defending or assisting in the defense of any Action for which the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Jointly Indemnifiable Claims</w:t>
      </w:r>
      <w:r>
        <w:rPr>
          <w:rFonts w:ascii="Times New Roman" w:hAnsi="Times New Roman"/>
          <w:color w:val="000000"/>
          <w:sz w:val="24"/>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hAnsi="Times New Roman"/>
          <w:color w:val="000000"/>
          <w:sz w:val="24"/>
          <w:u w:val="single"/>
        </w:rPr>
        <w:t>Indemnification Sources</w:t>
      </w:r>
      <w:r>
        <w:rPr>
          <w:rFonts w:ascii="Times New Roman" w:hAnsi="Times New Roman"/>
          <w:color w:val="000000"/>
          <w:sz w:val="20"/>
        </w:rPr>
        <w:t>”</w:t>
      </w:r>
      <w:r>
        <w:rPr>
          <w:rFonts w:ascii="Times New Roman" w:hAnsi="Times New Roman"/>
          <w:color w:val="000000"/>
          <w:sz w:val="24"/>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hAnsi="Times New Roman"/>
          <w:color w:val="000000"/>
          <w:sz w:val="24"/>
          <w:u w:val="single"/>
        </w:rPr>
        <w:t>Indemnitee-Related Entities</w:t>
      </w:r>
      <w:r>
        <w:rPr>
          <w:rFonts w:ascii="Times New Roman" w:hAnsi="Times New Roman"/>
          <w:color w:val="000000"/>
          <w:sz w:val="20"/>
        </w:rPr>
        <w:t>”</w:t>
      </w:r>
      <w:r>
        <w:rPr>
          <w:rFonts w:ascii="Times New Roman" w:hAnsi="Times New Roman"/>
          <w:color w:val="000000"/>
          <w:sz w:val="24"/>
        </w:rPr>
        <w:t>).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hAnsi="Times New Roman"/>
          <w:color w:val="000000"/>
          <w:sz w:val="24"/>
          <w:u w:val="single"/>
        </w:rPr>
        <w:t>Section 5.2</w:t>
      </w:r>
      <w:r>
        <w:rPr>
          <w:rFonts w:ascii="Times New Roman" w:hAnsi="Times New Roman"/>
          <w:color w:val="000000"/>
          <w:sz w:val="24"/>
        </w:rPr>
        <w:t xml:space="preserve">, entitled to enforce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Indemnitee-Related Entity were a party to this Agreement. The Company shall cause each of its Subsidiaries to perform the terms and obligations of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Subsidiary was a party to this Agreement. For purposes of this </w:t>
      </w:r>
      <w:r>
        <w:rPr>
          <w:rFonts w:ascii="Times New Roman" w:hAnsi="Times New Roman"/>
          <w:color w:val="000000"/>
          <w:sz w:val="24"/>
          <w:u w:val="single"/>
        </w:rPr>
        <w:t>Section 5.2</w:t>
      </w:r>
      <w:r>
        <w:rPr>
          <w:rFonts w:ascii="Times New Roman" w:hAnsi="Times New Roman"/>
          <w:color w:val="000000"/>
          <w:sz w:val="24"/>
        </w:rPr>
        <w:t>, the term “</w:t>
      </w:r>
      <w:r>
        <w:rPr>
          <w:rFonts w:ascii="Times New Roman" w:hAnsi="Times New Roman"/>
          <w:color w:val="000000"/>
          <w:sz w:val="24"/>
          <w:u w:val="single"/>
        </w:rPr>
        <w:t>Jointly Indemnifiable Claims</w:t>
      </w:r>
      <w:r>
        <w:rPr>
          <w:rFonts w:ascii="Times New Roman" w:hAnsi="Times New Roman"/>
          <w:color w:val="000000"/>
          <w:sz w:val="20"/>
        </w:rPr>
        <w:t xml:space="preserve">” </w:t>
      </w:r>
      <w:r>
        <w:rPr>
          <w:rFonts w:ascii="Times New Roman" w:hAnsi="Times New Roman"/>
          <w:color w:val="000000"/>
          <w:sz w:val="24"/>
        </w:rPr>
        <w:t>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Non-Exclusive Right</w:t>
      </w:r>
      <w:r>
        <w:rPr>
          <w:rFonts w:ascii="Times New Roman" w:hAnsi="Times New Roman"/>
          <w:color w:val="000000"/>
          <w:sz w:val="24"/>
        </w:rPr>
        <w:t xml:space="preserve">. The rights of any Indemnitee to indemnification in this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Directors and Officers Insurance</w:t>
      </w:r>
      <w:r>
        <w:rPr>
          <w:rFonts w:ascii="Times New Roman" w:hAnsi="Times New Roman"/>
          <w:color w:val="000000"/>
          <w:sz w:val="24"/>
        </w:rPr>
        <w:t>. The Company shall use its reasonable best efforts to purchase and maintain a policy or policies of directors’ and officers’ liability insurance which insurance shall cover each member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Other Rights of Designees</w:t>
      </w:r>
      <w:r>
        <w:rPr>
          <w:rFonts w:ascii="Times New Roman" w:hAnsi="Times New Roman"/>
          <w:color w:val="000000"/>
          <w:sz w:val="24"/>
        </w:rPr>
        <w:t xml:space="preserve">. Except as provided in </w:t>
      </w:r>
      <w:r>
        <w:rPr>
          <w:rFonts w:ascii="Times New Roman" w:hAnsi="Times New Roman"/>
          <w:color w:val="000000"/>
          <w:sz w:val="24"/>
          <w:u w:val="single"/>
        </w:rPr>
        <w:t>Section 2.2</w:t>
      </w:r>
      <w:r>
        <w:rPr>
          <w:rFonts w:ascii="Times New Roman" w:hAnsi="Times New Roman"/>
          <w:color w:val="000000"/>
          <w:sz w:val="24"/>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VI.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GENERAL PROVISIONS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Termination</w:t>
      </w:r>
      <w:r>
        <w:rPr>
          <w:rFonts w:ascii="Times New Roman" w:hAnsi="Times New Roman"/>
          <w:color w:val="000000"/>
          <w:sz w:val="24"/>
        </w:rPr>
        <w:t xml:space="preserve">. Subject to the early termination of any provision as a result of an amendment to this Agreement agreed to by the Board and the Designating Stockholders, as provided under </w:t>
      </w:r>
      <w:r>
        <w:rPr>
          <w:rFonts w:ascii="Times New Roman" w:hAnsi="Times New Roman"/>
          <w:color w:val="000000"/>
          <w:sz w:val="24"/>
          <w:u w:val="single"/>
        </w:rPr>
        <w:t>Section 6.3</w:t>
      </w:r>
      <w:r>
        <w:rPr>
          <w:rFonts w:ascii="Times New Roman" w:hAnsi="Times New Roman"/>
          <w:color w:val="000000"/>
          <w:sz w:val="24"/>
        </w:rPr>
        <w:t xml:space="preserve">, and except for </w:t>
      </w:r>
      <w:r>
        <w:rPr>
          <w:rFonts w:ascii="Times New Roman" w:hAnsi="Times New Roman"/>
          <w:color w:val="000000"/>
          <w:sz w:val="24"/>
          <w:u w:val="single"/>
        </w:rPr>
        <w:t>Section 3.1</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hereof, which shall terminate as provided in those Sections, and the rest of this Agreement, excluding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hereof shall terminate.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Notices</w:t>
      </w:r>
      <w:r>
        <w:rPr>
          <w:rFonts w:ascii="Times New Roman" w:hAnsi="Times New Roman"/>
          <w:color w:val="000000"/>
          <w:sz w:val="24"/>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1712"/>
        <w:gridCol w:w="2533"/>
      </w:tblGrid>
      <w:tr>
        <w:trPr/>
        <w:tc>
          <w:tcPr>
            <w:tcW w:w="1712"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Company’s address is:</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Liftoff Mobile, Inc.</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 Middlefield Road, 2nd Floor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Redwood City, CA 94063</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Each Designating Stockholder’s address is: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BCP Redbird Aggregator L.P.</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 Blackstone Inc.</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345 Park Avenue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New York, NY 10154 </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Sachin Bavishi</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Yip</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Amendment; Waiver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terms and provisions of this Agreement may be modified or amended only with the written approval of the Company and the Designating Stockholder Representative.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pStyle w:val="TextBody"/>
        <w:bidi w:val="0"/>
        <w:spacing w:before="0" w:after="240"/>
        <w:jc w:val="left"/>
        <w:rPr>
          <w:rFonts w:ascii="Times New Roman" w:hAnsi="Times New Roman"/>
          <w:sz w:val="20"/>
        </w:rPr>
      </w:pPr>
      <w:r>
        <w:rPr>
          <w:rFonts w:ascii="Times New Roman" w:hAnsi="Times New Roman"/>
          <w:color w:val="000000"/>
          <w:sz w:val="24"/>
        </w:rPr>
        <w:t>(c) 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Any party hereto may unilaterally waive any of its rights hereunder in a signed writing delivered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Further Assurances</w:t>
      </w:r>
      <w:r>
        <w:rPr>
          <w:rFonts w:ascii="Times New Roman" w:hAnsi="Times New Roman"/>
          <w:color w:val="000000"/>
          <w:sz w:val="24"/>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Assignment</w:t>
      </w:r>
      <w:r>
        <w:rPr>
          <w:rFonts w:ascii="Times New Roman" w:hAnsi="Times New Roman"/>
          <w:color w:val="000000"/>
          <w:sz w:val="24"/>
        </w:rPr>
        <w:t xml:space="preserve">. This Agreement may not be assigned without the express prior written consent of the other party hereto, and any attempted assignment, without such consent, will be null and void; </w:t>
      </w:r>
      <w:r>
        <w:rPr>
          <w:rFonts w:ascii="Times New Roman" w:hAnsi="Times New Roman"/>
          <w:i/>
          <w:color w:val="000000"/>
          <w:sz w:val="24"/>
        </w:rPr>
        <w:t>provided</w:t>
      </w:r>
      <w:r>
        <w:rPr>
          <w:rFonts w:ascii="Times New Roman" w:hAnsi="Times New Roman"/>
          <w:color w:val="000000"/>
          <w:sz w:val="24"/>
        </w:rPr>
        <w:t>, however, that, without the prior written consent of any other party hereto, a Designating Stockholder may assign or transfer, in its sole discretion, its rights and obligations under this Agreement, in whole or in part, to any Permitted Transferee of Common Stock,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 This Agreement will inure to the benefit of and be binding on the parties hereto and their respective successors and permitted assigns.</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6.6 </w:t>
      </w:r>
      <w:r>
        <w:rPr>
          <w:rFonts w:ascii="Times New Roman" w:hAnsi="Times New Roman"/>
          <w:color w:val="000000"/>
          <w:sz w:val="24"/>
          <w:u w:val="single"/>
        </w:rPr>
        <w:t>Third Parties</w:t>
      </w:r>
      <w:r>
        <w:rPr>
          <w:rFonts w:ascii="Times New Roman" w:hAnsi="Times New Roman"/>
          <w:color w:val="000000"/>
          <w:sz w:val="24"/>
        </w:rPr>
        <w:t xml:space="preserve">. Except as provided for in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with respect to any Designating Stockholder,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with respect to any Indemnitee or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with respect to a Non-Recourse Party, this Agreement does not create any rights, claims or benefits inuring to any person that is not a party hereto nor create or establish any third party beneficiary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6.7 </w:t>
      </w:r>
      <w:r>
        <w:rPr>
          <w:rFonts w:ascii="Times New Roman" w:hAnsi="Times New Roman"/>
          <w:color w:val="000000"/>
          <w:sz w:val="24"/>
          <w:u w:val="single"/>
        </w:rPr>
        <w:t>Governing Law</w:t>
      </w:r>
      <w:r>
        <w:rPr>
          <w:rFonts w:ascii="Times New Roman" w:hAnsi="Times New Roman"/>
          <w:color w:val="000000"/>
          <w:sz w:val="24"/>
        </w:rPr>
        <w:t>. THIS AGREEMENT AND ITS ENFORCEMENT AND ANY CONTROVERSY ARISING OUT OF OR RELATING TO THE MAKING OR PERFORMANCE OF THIS AGREEMENT SHALL BE GOVERNED BY AND CONSTRUED IN ACCORDANCE WITH THE LAWS OF THE STATE OF DELAWARE.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6.8 </w:t>
      </w:r>
      <w:r>
        <w:rPr>
          <w:rFonts w:ascii="Times New Roman" w:hAnsi="Times New Roman"/>
          <w:color w:val="000000"/>
          <w:sz w:val="24"/>
          <w:u w:val="single"/>
        </w:rPr>
        <w:t>Jurisdiction; Waiver of Jury Trial</w:t>
      </w:r>
      <w:r>
        <w:rPr>
          <w:rFonts w:ascii="Times New Roman" w:hAnsi="Times New Roman"/>
          <w:color w:val="000000"/>
          <w:sz w:val="24"/>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hAnsi="Times New Roman"/>
          <w:color w:val="000000"/>
          <w:sz w:val="24"/>
          <w:u w:val="single"/>
        </w:rPr>
        <w:t>Section 6.8</w:t>
      </w:r>
      <w:r>
        <w:rPr>
          <w:rFonts w:ascii="Times New Roman" w:hAnsi="Times New Roman"/>
          <w:color w:val="000000"/>
          <w:sz w:val="24"/>
        </w:rPr>
        <w:t xml:space="preserve">,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w:t>
      </w:r>
      <w:r>
        <w:rPr>
          <w:rFonts w:ascii="Times New Roman" w:hAnsi="Times New Roman"/>
          <w:caps/>
          <w:color w:val="000000"/>
          <w:sz w:val="24"/>
        </w:rPr>
        <w:t>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6.9 </w:t>
      </w:r>
      <w:r>
        <w:rPr>
          <w:rFonts w:ascii="Times New Roman" w:hAnsi="Times New Roman"/>
          <w:color w:val="000000"/>
          <w:sz w:val="24"/>
          <w:u w:val="single"/>
        </w:rPr>
        <w:t>Specific Performance</w:t>
      </w:r>
      <w:r>
        <w:rPr>
          <w:rFonts w:ascii="Times New Roman" w:hAnsi="Times New Roman"/>
          <w:color w:val="000000"/>
          <w:sz w:val="24"/>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6.10 </w:t>
      </w:r>
      <w:r>
        <w:rPr>
          <w:rFonts w:ascii="Times New Roman" w:hAnsi="Times New Roman"/>
          <w:color w:val="000000"/>
          <w:sz w:val="24"/>
          <w:u w:val="single"/>
        </w:rPr>
        <w:t>Entire Agreement</w:t>
      </w:r>
      <w:r>
        <w:rPr>
          <w:rFonts w:ascii="Times New Roman" w:hAnsi="Times New Roman"/>
          <w:color w:val="000000"/>
          <w:sz w:val="24"/>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6.11 </w:t>
      </w:r>
      <w:r>
        <w:rPr>
          <w:rFonts w:ascii="Times New Roman" w:hAnsi="Times New Roman"/>
          <w:color w:val="000000"/>
          <w:sz w:val="24"/>
          <w:u w:val="single"/>
        </w:rPr>
        <w:t>Severability</w:t>
      </w:r>
      <w:r>
        <w:rPr>
          <w:rFonts w:ascii="Times New Roman" w:hAnsi="Times New Roman"/>
          <w:color w:val="000000"/>
          <w:sz w:val="24"/>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reformed to be valid and enforceable to the fullest extent permitted by law, and (iii) the application of such provision to other Persons or circumstances or in other jurisdictions shall not be affected thereby.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6.12 </w:t>
      </w:r>
      <w:r>
        <w:rPr>
          <w:rFonts w:ascii="Times New Roman" w:hAnsi="Times New Roman"/>
          <w:color w:val="000000"/>
          <w:sz w:val="24"/>
          <w:u w:val="single"/>
        </w:rPr>
        <w:t>Table of Contents, Headings and Captions</w:t>
      </w:r>
      <w:r>
        <w:rPr>
          <w:rFonts w:ascii="Times New Roman" w:hAnsi="Times New Roman"/>
          <w:color w:val="000000"/>
          <w:sz w:val="24"/>
        </w:rPr>
        <w:t>. The table of contents, headings, subheadings and captions contained in this Agreement are included for convenience of reference only, and in no way define, limit or describe the scope of this Agreement or the intent of any provision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6.13 </w:t>
      </w:r>
      <w:r>
        <w:rPr>
          <w:rFonts w:ascii="Times New Roman" w:hAnsi="Times New Roman"/>
          <w:color w:val="000000"/>
          <w:sz w:val="24"/>
          <w:u w:val="single"/>
        </w:rPr>
        <w:t>Grant of Consent</w:t>
      </w:r>
      <w:r>
        <w:rPr>
          <w:rFonts w:ascii="Times New Roman" w:hAnsi="Times New Roman"/>
          <w:color w:val="000000"/>
          <w:sz w:val="24"/>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hereof by the Designating Stockholder Representative as of the latest date any such notice is so provided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6.14 </w:t>
      </w:r>
      <w:r>
        <w:rPr>
          <w:rFonts w:ascii="Times New Roman" w:hAnsi="Times New Roman"/>
          <w:color w:val="000000"/>
          <w:sz w:val="24"/>
          <w:u w:val="single"/>
        </w:rPr>
        <w:t>Counterparts</w:t>
      </w:r>
      <w:r>
        <w:rPr>
          <w:rFonts w:ascii="Times New Roman" w:hAnsi="Times New Roman"/>
          <w:color w:val="000000"/>
          <w:sz w:val="24"/>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6.15 </w:t>
      </w:r>
      <w:r>
        <w:rPr>
          <w:rFonts w:ascii="Times New Roman" w:hAnsi="Times New Roman"/>
          <w:color w:val="000000"/>
          <w:sz w:val="24"/>
          <w:u w:val="single"/>
        </w:rPr>
        <w:t>Effectiveness</w:t>
      </w:r>
      <w:r>
        <w:rPr>
          <w:rFonts w:ascii="Times New Roman" w:hAnsi="Times New Roman"/>
          <w:color w:val="000000"/>
          <w:sz w:val="24"/>
        </w:rPr>
        <w:t>. This Agreement shall become effective on the date hereof, among the Company and the other parties thereto.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6.16 </w:t>
      </w:r>
      <w:r>
        <w:rPr>
          <w:rFonts w:ascii="Times New Roman" w:hAnsi="Times New Roman"/>
          <w:color w:val="000000"/>
          <w:sz w:val="24"/>
          <w:u w:val="single"/>
        </w:rPr>
        <w:t>No Recourse</w:t>
      </w:r>
      <w:r>
        <w:rPr>
          <w:rFonts w:ascii="Times New Roman" w:hAnsi="Times New Roman"/>
          <w:color w:val="000000"/>
          <w:sz w:val="24"/>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hAnsi="Times New Roman"/>
          <w:color w:val="000000"/>
          <w:sz w:val="24"/>
          <w:u w:val="single"/>
        </w:rPr>
        <w:t>Non-Recourse Party</w:t>
      </w:r>
      <w:r>
        <w:rPr>
          <w:rFonts w:ascii="Times New Roman" w:hAnsi="Times New Roman"/>
          <w:color w:val="000000"/>
          <w:sz w:val="20"/>
        </w:rPr>
        <w:t>”</w:t>
      </w:r>
      <w:r>
        <w:rPr>
          <w:rFonts w:ascii="Times New Roman" w:hAnsi="Times New Roman"/>
          <w:color w:val="000000"/>
          <w:sz w:val="24"/>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Non-Recourse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hAnsi="Times New Roman"/>
          <w:color w:val="000000"/>
          <w:sz w:val="24"/>
          <w:u w:val="single"/>
        </w:rPr>
        <w:t>Section 6.16</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shall limit any Person’s liability to the extent such Person has committed fraud.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STOCKHOLDERS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DATED AS OF JUNE 3, 2026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LIFTOFF MOBILE,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GENERAL ATLANTIC (LFT), 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bookmarkStart w:id="5" w:name="tocheading_1"/>
      <w:bookmarkEnd w:id="5"/>
      <w:r>
        <w:rPr>
          <w:rFonts w:ascii="Times New Roman" w:hAnsi="Times New Roman"/>
          <w:b/>
          <w:color w:val="000000"/>
          <w:sz w:val="24"/>
        </w:rPr>
        <w:t>Table of Contents</w:t>
      </w:r>
    </w:p>
    <w:p>
      <w:pPr>
        <w:pStyle w:val="TextBody"/>
        <w:bidi w:val="0"/>
        <w:jc w:val="right"/>
        <w:rPr/>
      </w:pPr>
      <w:r>
        <w:rPr/>
        <w:t> </w:t>
      </w:r>
    </w:p>
    <w:tbl>
      <w:tblPr>
        <w:tblW w:w="7606" w:type="dxa"/>
        <w:jc w:val="left"/>
        <w:tblInd w:w="0" w:type="dxa"/>
        <w:tblLayout w:type="fixed"/>
        <w:tblCellMar>
          <w:top w:w="28" w:type="dxa"/>
          <w:left w:w="28" w:type="dxa"/>
          <w:bottom w:w="28" w:type="dxa"/>
          <w:right w:w="28" w:type="dxa"/>
        </w:tblCellMar>
      </w:tblPr>
      <w:tblGrid>
        <w:gridCol w:w="1486"/>
        <w:gridCol w:w="5009"/>
        <w:gridCol w:w="1111"/>
      </w:tblGrid>
      <w:tr>
        <w:trPr/>
        <w:tc>
          <w:tcPr>
            <w:tcW w:w="1486" w:type="dxa"/>
            <w:tcBorders/>
            <w:vAlign w:val="center"/>
          </w:tcPr>
          <w:p>
            <w:pPr>
              <w:pStyle w:val="TableContents"/>
              <w:bidi w:val="0"/>
              <w:spacing w:before="0" w:after="283"/>
              <w:jc w:val="left"/>
              <w:rPr>
                <w:sz w:val="4"/>
                <w:szCs w:val="4"/>
              </w:rPr>
            </w:pPr>
            <w:r>
              <w:rPr>
                <w:sz w:val="4"/>
                <w:szCs w:val="4"/>
              </w:rPr>
            </w:r>
          </w:p>
        </w:tc>
        <w:tc>
          <w:tcPr>
            <w:tcW w:w="50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Page</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w:t>
            </w:r>
            <w:r>
              <w:rPr>
                <w:rFonts w:ascii="Times New Roman" w:hAnsi="Times New Roman"/>
                <w:color w:val="000000"/>
                <w:sz w:val="24"/>
              </w:rPr>
              <w:t> INTRODUCTORY MATTERS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1.1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Defined Terms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1.2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w:t>
            </w:r>
            <w:r>
              <w:rPr>
                <w:rFonts w:ascii="Times New Roman" w:hAnsi="Times New Roman"/>
                <w:color w:val="000000"/>
                <w:sz w:val="24"/>
              </w:rPr>
              <w:t> CORPORATE GOVERNANCE MATTERS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2.1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Election of Directors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2.2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III.</w:t>
            </w:r>
            <w:r>
              <w:rPr>
                <w:rFonts w:ascii="Times New Roman" w:hAnsi="Times New Roman"/>
                <w:color w:val="000000"/>
                <w:sz w:val="24"/>
              </w:rPr>
              <w:t> INFORMATION; VCOC</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 Access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Reports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VCOC</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 Sharing</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IV.</w:t>
            </w:r>
            <w:r>
              <w:rPr>
                <w:rFonts w:ascii="Times New Roman" w:hAnsi="Times New Roman"/>
                <w:color w:val="000000"/>
                <w:sz w:val="24"/>
              </w:rPr>
              <w:t> ADDITIONAL COVENANTS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Pledges or Transfers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Spin-Offs or Split-Offs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 Reimbursement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Issuances for Earn-Out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w:t>
            </w:r>
            <w:r>
              <w:rPr>
                <w:rFonts w:ascii="Times New Roman" w:hAnsi="Times New Roman"/>
                <w:color w:val="000000"/>
                <w:sz w:val="24"/>
              </w:rPr>
              <w:t> INDEMNIFICATION; LIABILITY INSURANCE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of Designating Stockholder</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Jointly Indemnifiable Claims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Non-Exclusive Right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 and Officers Insurance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Rights of Designees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VI.</w:t>
            </w:r>
            <w:r>
              <w:rPr>
                <w:rFonts w:ascii="Times New Roman" w:hAnsi="Times New Roman"/>
                <w:color w:val="000000"/>
                <w:sz w:val="24"/>
              </w:rPr>
              <w:t> GENERAL PROVISIONS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18</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Waiver</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6.6</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Parties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6.7</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6.8</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Waiver of Jury Trial</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6.9</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6.10</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and Captions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of Consent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Effectiveness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22</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6.16</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STOCKHOLDERS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Stockholders Agreement is entered into as of June 3, 2026 between Liftoff Mobile,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other parties from time to time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0" w:after="240"/>
        <w:jc w:val="left"/>
        <w:rPr>
          <w:rFonts w:ascii="Times New Roman" w:hAnsi="Times New Roman"/>
          <w:sz w:val="20"/>
        </w:rPr>
      </w:pPr>
      <w:r>
        <w:rPr>
          <w:rFonts w:ascii="Times New Roman" w:hAnsi="Times New Roman"/>
          <w:color w:val="000000"/>
          <w:sz w:val="24"/>
        </w:rPr>
        <w:t>WHEREAS, the Company is effecting an underwritten initial public offering (“</w:t>
      </w:r>
      <w:r>
        <w:rPr>
          <w:rFonts w:ascii="Times New Roman" w:hAnsi="Times New Roman"/>
          <w:color w:val="000000"/>
          <w:sz w:val="24"/>
          <w:u w:val="single"/>
        </w:rPr>
        <w:t>IPO</w:t>
      </w:r>
      <w:r>
        <w:rPr>
          <w:rFonts w:ascii="Times New Roman" w:hAnsi="Times New Roman"/>
          <w:color w:val="000000"/>
          <w:sz w:val="20"/>
        </w:rPr>
        <w:t>”</w:t>
      </w:r>
      <w:r>
        <w:rPr>
          <w:rFonts w:ascii="Times New Roman" w:hAnsi="Times New Roman"/>
          <w:color w:val="000000"/>
          <w:sz w:val="24"/>
        </w:rPr>
        <w:t>) of shares of its Common Stock (as defined below);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the IPO, the Company and the Designating Stockholders (as defined below) wish to set forth certain understandings between such parties, including with respect to certain governance matters.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the parties agree as follows:</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w:t>
      </w:r>
      <w:r>
        <w:rPr>
          <w:rFonts w:ascii="Times New Roman" w:hAnsi="Times New Roman"/>
          <w:b w:val="false"/>
          <w:caps/>
          <w:color w:val="000000"/>
          <w:sz w:val="24"/>
        </w:rPr>
        <w:br/>
        <w:t>INTRODUCTORY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Defined Terms</w:t>
      </w:r>
      <w:r>
        <w:rPr>
          <w:rFonts w:ascii="Times New Roman" w:hAnsi="Times New Roman"/>
          <w:color w:val="000000"/>
          <w:sz w:val="24"/>
        </w:rPr>
        <w:t>. In addition to the terms defined elsewhere herein, the following terms have the following meanings when used herein with initial capital letters:</w:t>
      </w:r>
      <w:r>
        <w:rPr>
          <w:rFonts w:ascii="Times New Roman" w:hAnsi="Times New Roman"/>
          <w:color w:val="000000"/>
          <w:sz w:val="20"/>
        </w:rPr>
        <w:t xml:space="preserve"> </w:t>
      </w:r>
    </w:p>
    <w:p>
      <w:pPr>
        <w:pStyle w:val="TextBody"/>
        <w:bidi w:val="0"/>
        <w:spacing w:before="0" w:after="240"/>
        <w:jc w:val="left"/>
        <w:rPr/>
      </w:pPr>
      <w:r>
        <w:rPr>
          <w:color w:val="000000"/>
          <w:u w:val="single"/>
        </w:rPr>
        <w:t>“</w:t>
      </w:r>
      <w:r>
        <w:rPr>
          <w:rFonts w:ascii="Times New Roman" w:hAnsi="Times New Roman"/>
          <w:color w:val="000000"/>
          <w:sz w:val="24"/>
          <w:u w:val="single"/>
        </w:rPr>
        <w:t>2020 Merger Agreement</w:t>
      </w:r>
      <w:r>
        <w:rPr>
          <w:rFonts w:ascii="Times New Roman" w:hAnsi="Times New Roman"/>
          <w:color w:val="000000"/>
          <w:sz w:val="20"/>
        </w:rPr>
        <w:t xml:space="preserve">” </w:t>
      </w:r>
      <w:r>
        <w:rPr>
          <w:rFonts w:ascii="Times New Roman" w:hAnsi="Times New Roman"/>
          <w:color w:val="000000"/>
          <w:sz w:val="24"/>
        </w:rPr>
        <w:t>means the Merger Agreement, dated as of December 18, 2020, by and among the Company, Booster Merger Sub, Inc. and Liftoff Mobile, Inc.</w:t>
      </w:r>
    </w:p>
    <w:p>
      <w:pPr>
        <w:pStyle w:val="TextBody"/>
        <w:bidi w:val="0"/>
        <w:spacing w:before="0" w:after="240"/>
        <w:jc w:val="left"/>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has the meaning set forth in Rule 12b-2 promulgated under the Exchange Act, as in effect on the date 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notwithstanding the foregoing, an Affiliate shall not include any Portfolio Company of any Person or the Designating Stockholders and neither the Company nor any of its Affiliates shall be deemed an Affiliate of a Designating Stockholder or its Affiliates or Portfolio Companies.</w:t>
      </w:r>
    </w:p>
    <w:p>
      <w:pPr>
        <w:pStyle w:val="TextBody"/>
        <w:bidi w:val="0"/>
        <w:spacing w:before="0" w:after="24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 this Stockholders Agreement, as the same may be amended, supplemented, restated or otherwise modified from time to time in accordance with the terms hereof.</w:t>
      </w:r>
    </w:p>
    <w:p>
      <w:pPr>
        <w:pStyle w:val="TextBody"/>
        <w:bidi w:val="0"/>
        <w:spacing w:before="0" w:after="240"/>
        <w:jc w:val="left"/>
        <w:rPr/>
      </w:pPr>
      <w:r>
        <w:rPr>
          <w:color w:val="000000"/>
        </w:rPr>
        <w:t>“</w:t>
      </w:r>
      <w:r>
        <w:rPr>
          <w:rFonts w:ascii="Times New Roman" w:hAnsi="Times New Roman"/>
          <w:color w:val="000000"/>
          <w:sz w:val="24"/>
          <w:u w:val="single"/>
        </w:rPr>
        <w:t>Beneficially Own</w:t>
      </w:r>
      <w:r>
        <w:rPr>
          <w:rFonts w:ascii="Times New Roman" w:hAnsi="Times New Roman"/>
          <w:color w:val="000000"/>
          <w:sz w:val="20"/>
        </w:rPr>
        <w:t xml:space="preserve">” </w:t>
      </w:r>
      <w:r>
        <w:rPr>
          <w:rFonts w:ascii="Times New Roman" w:hAnsi="Times New Roman"/>
          <w:color w:val="000000"/>
          <w:sz w:val="24"/>
        </w:rPr>
        <w:t>has the meaning set forth in Rule 13d-3 promulgated under the Exchange Act.</w:t>
      </w:r>
    </w:p>
    <w:p>
      <w:pPr>
        <w:pStyle w:val="TextBody"/>
        <w:bidi w:val="0"/>
        <w:spacing w:before="0" w:after="240"/>
        <w:jc w:val="left"/>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a Sunday, or a holiday on which national banking associations in the State of New York are authorized by law to close.</w:t>
      </w:r>
    </w:p>
    <w:p>
      <w:pPr>
        <w:pStyle w:val="TextBody"/>
        <w:bidi w:val="0"/>
        <w:spacing w:before="0" w:after="240"/>
        <w:jc w:val="left"/>
        <w:rPr/>
      </w:pPr>
      <w:r>
        <w:rPr>
          <w:color w:val="000000"/>
        </w:rPr>
        <w:t>“</w:t>
      </w:r>
      <w:r>
        <w:rPr>
          <w:rFonts w:ascii="Times New Roman" w:hAnsi="Times New Roman"/>
          <w:color w:val="000000"/>
          <w:sz w:val="24"/>
          <w:u w:val="single"/>
        </w:rPr>
        <w:t>Certificate of Designations</w:t>
      </w:r>
      <w:r>
        <w:rPr>
          <w:rFonts w:ascii="Times New Roman" w:hAnsi="Times New Roman"/>
          <w:color w:val="000000"/>
          <w:sz w:val="20"/>
        </w:rPr>
        <w:t xml:space="preserve">” </w:t>
      </w:r>
      <w:r>
        <w:rPr>
          <w:rFonts w:ascii="Times New Roman" w:hAnsi="Times New Roman"/>
          <w:color w:val="000000"/>
          <w:sz w:val="24"/>
        </w:rPr>
        <w:t>means the Certificate of Designations of the Company establishing the Series A Convertible Preferred Stock as in effect immediately prior to the Conversion Date.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shares of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pStyle w:val="TextBody"/>
        <w:bidi w:val="0"/>
        <w:spacing w:before="0" w:after="240"/>
        <w:jc w:val="left"/>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left"/>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 xml:space="preserve">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Confidential Information does not include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is or has become publicly available other than as a result of a disclosure by a Designating Stockholder or its designated representatives in violation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that was already known to a Designating Stockholder or its designated representatives or was in the possession of a Designating Stockholder or its designated representatives prior to its being furnished by or on behalf of the Company or its designated representatives;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that is received by a Designating Stockholder or its designated representatives from a source other than the Company or its designated representatives, </w:t>
      </w:r>
      <w:r>
        <w:rPr>
          <w:rFonts w:ascii="Times New Roman" w:hAnsi="Times New Roman"/>
          <w:i/>
          <w:color w:val="000000"/>
          <w:sz w:val="24"/>
        </w:rPr>
        <w:t>provided</w:t>
      </w:r>
      <w:r>
        <w:rPr>
          <w:rFonts w:ascii="Times New Roman" w:hAnsi="Times New Roman"/>
          <w:color w:val="000000"/>
          <w:sz w:val="24"/>
        </w:rPr>
        <w:t>, that the source of such information was not actually known by a Designating Stockholder or designated representative to be bound by a confidentiality agreement with, or other contractual obligation of confidentiality to,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was independently developed or acquired by a Designating Stockholder or its designated representatives or on its or their behalf without the violation of the terms of this Agreement.</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0"/>
        </w:rPr>
        <w:t>”</w:t>
      </w:r>
      <w:r>
        <w:rPr>
          <w:rFonts w:ascii="Times New Roman" w:hAnsi="Times New Roman"/>
          <w:color w:val="000000"/>
          <w:sz w:val="24"/>
        </w:rPr>
        <w:t>) means possession, directly or indirectly, of the power to direct or cause the direction of management or policies (whether through ownership of securities or partnership or other ownership interests, by contract or otherwise) of a Person.</w:t>
      </w:r>
    </w:p>
    <w:p>
      <w:pPr>
        <w:pStyle w:val="TextBody"/>
        <w:bidi w:val="0"/>
        <w:spacing w:before="0" w:after="240"/>
        <w:jc w:val="left"/>
        <w:rPr/>
      </w:pPr>
      <w:r>
        <w:rPr>
          <w:color w:val="000000"/>
        </w:rPr>
        <w:t>“</w:t>
      </w:r>
      <w:r>
        <w:rPr>
          <w:rFonts w:ascii="Times New Roman" w:hAnsi="Times New Roman"/>
          <w:color w:val="000000"/>
          <w:sz w:val="24"/>
          <w:u w:val="single"/>
        </w:rPr>
        <w:t>Conversion Date</w:t>
      </w:r>
      <w:r>
        <w:rPr>
          <w:rFonts w:ascii="Times New Roman" w:hAnsi="Times New Roman"/>
          <w:color w:val="000000"/>
          <w:sz w:val="20"/>
        </w:rPr>
        <w:t xml:space="preserve">” </w:t>
      </w:r>
      <w:r>
        <w:rPr>
          <w:rFonts w:ascii="Times New Roman" w:hAnsi="Times New Roman"/>
          <w:color w:val="000000"/>
          <w:sz w:val="24"/>
        </w:rPr>
        <w:t>means the date on which the Series A Convertible Preferred Stock converted into Class A common stock, par value $0.0001 per share, of the Company prior to the consummation of the IPO.</w:t>
      </w:r>
    </w:p>
    <w:p>
      <w:pPr>
        <w:pStyle w:val="TextBody"/>
        <w:bidi w:val="0"/>
        <w:spacing w:before="0" w:after="240"/>
        <w:jc w:val="left"/>
        <w:rPr/>
      </w:pPr>
      <w:r>
        <w:rPr>
          <w:color w:val="000000"/>
        </w:rPr>
        <w:t>“</w:t>
      </w:r>
      <w:r>
        <w:rPr>
          <w:rFonts w:ascii="Times New Roman" w:hAnsi="Times New Roman"/>
          <w:color w:val="000000"/>
          <w:sz w:val="24"/>
          <w:u w:val="single"/>
        </w:rPr>
        <w:t>Designating Stockholders</w:t>
      </w:r>
      <w:r>
        <w:rPr>
          <w:rFonts w:ascii="Times New Roman" w:hAnsi="Times New Roman"/>
          <w:color w:val="000000"/>
          <w:sz w:val="20"/>
        </w:rPr>
        <w:t xml:space="preserve">” </w:t>
      </w:r>
      <w:r>
        <w:rPr>
          <w:rFonts w:ascii="Times New Roman" w:hAnsi="Times New Roman"/>
          <w:color w:val="000000"/>
          <w:sz w:val="24"/>
        </w:rPr>
        <w:t xml:space="preserve">means the entities listed on the signature pages hereto under the heading “Designating Stockholders” and each Person that executes a joinder agreement pursuant to </w:t>
      </w:r>
      <w:r>
        <w:rPr>
          <w:rFonts w:ascii="Times New Roman" w:hAnsi="Times New Roman"/>
          <w:color w:val="000000"/>
          <w:sz w:val="24"/>
          <w:u w:val="single"/>
        </w:rPr>
        <w:t>Section 6.5(b)</w:t>
      </w:r>
      <w:r>
        <w:rPr>
          <w:rFonts w:ascii="Times New Roman" w:hAnsi="Times New Roman"/>
          <w:color w:val="000000"/>
          <w:sz w:val="20"/>
        </w:rPr>
        <w:t xml:space="preserve"> </w:t>
      </w:r>
      <w:r>
        <w:rPr>
          <w:rFonts w:ascii="Times New Roman" w:hAnsi="Times New Roman"/>
          <w:color w:val="000000"/>
          <w:sz w:val="24"/>
        </w:rPr>
        <w:t>as a Permitted Transferee.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Designating Stockholder Representative</w:t>
      </w:r>
      <w:r>
        <w:rPr>
          <w:rFonts w:ascii="Times New Roman" w:hAnsi="Times New Roman"/>
          <w:color w:val="000000"/>
          <w:sz w:val="20"/>
        </w:rPr>
        <w:t xml:space="preserve">” </w:t>
      </w:r>
      <w:r>
        <w:rPr>
          <w:rFonts w:ascii="Times New Roman" w:hAnsi="Times New Roman"/>
          <w:color w:val="000000"/>
          <w:sz w:val="24"/>
        </w:rPr>
        <w:t>means the Designating Stockholder, or any group of Designating Stockholders collectively, then holding of record a majority of Total Outstanding Securities held of record by all Designating Stockholders.</w:t>
      </w:r>
    </w:p>
    <w:p>
      <w:pPr>
        <w:pStyle w:val="TextBody"/>
        <w:bidi w:val="0"/>
        <w:spacing w:before="0" w:after="240"/>
        <w:jc w:val="left"/>
        <w:rPr/>
      </w:pPr>
      <w:r>
        <w:rPr>
          <w:color w:val="000000"/>
        </w:rPr>
        <w:t>“</w:t>
      </w:r>
      <w:r>
        <w:rPr>
          <w:rFonts w:ascii="Times New Roman" w:hAnsi="Times New Roman"/>
          <w:color w:val="000000"/>
          <w:sz w:val="24"/>
          <w:u w:val="single"/>
        </w:rPr>
        <w:t>Designee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2.1(a)</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means any director of the Company from time to time.</w:t>
      </w:r>
    </w:p>
    <w:p>
      <w:pPr>
        <w:pStyle w:val="TextBody"/>
        <w:bidi w:val="0"/>
        <w:spacing w:before="0" w:after="240"/>
        <w:jc w:val="left"/>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 as the same may be amended from time to time.</w:t>
      </w:r>
    </w:p>
    <w:p>
      <w:pPr>
        <w:pStyle w:val="TextBody"/>
        <w:bidi w:val="0"/>
        <w:spacing w:before="0" w:after="240"/>
        <w:jc w:val="left"/>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pStyle w:val="TextBody"/>
        <w:bidi w:val="0"/>
        <w:spacing w:before="0" w:after="240"/>
        <w:jc w:val="left"/>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IPO</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NewCo</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Non-Recourse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color w:val="000000"/>
          <w:sz w:val="24"/>
          <w:u w:val="single"/>
        </w:rPr>
        <w:t>Permitted Pledge</w:t>
      </w:r>
      <w:r>
        <w:rPr>
          <w:rFonts w:ascii="Times New Roman" w:hAnsi="Times New Roman"/>
          <w:color w:val="000000"/>
          <w:sz w:val="20"/>
        </w:rPr>
        <w:t xml:space="preserve">” </w:t>
      </w:r>
      <w:r>
        <w:rPr>
          <w:rFonts w:ascii="Times New Roman" w:hAnsi="Times New Roman"/>
          <w:color w:val="000000"/>
          <w:sz w:val="24"/>
        </w:rPr>
        <w:t>means any pledge, hypothecation or grant of security over shares by a Designating Stockholder or any Affiliate thereof with respect to all or any portion of its shares of Common Stock (or any beneficial interest therein) to or in favor of any bank or financial institution as collateral for (i) any loan, advance, extension of credit or (ii) any derivative transaction referencing the Common Stock (including, without limitation, any transaction which transfers some or all of the economic risk of ownership of Common Stock, including any forward contract, equity swap, put or call, put or call equivalent position, collar, sale of exchangeable security or any similar transaction).</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rFonts w:ascii="Times New Roman" w:hAnsi="Times New Roman"/>
          <w:color w:val="000000"/>
          <w:sz w:val="20"/>
        </w:rPr>
        <w:t xml:space="preserve">” </w:t>
      </w:r>
      <w:r>
        <w:rPr>
          <w:rFonts w:ascii="Times New Roman" w:hAnsi="Times New Roman"/>
          <w:color w:val="000000"/>
          <w:sz w:val="24"/>
        </w:rPr>
        <w:t>means with respect to a Designating Stockholder, a Transferee of shares of Common Stock that agrees to become party to, and be bound to the same extent as its transferor, by the terms of this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pStyle w:val="TextBody"/>
        <w:bidi w:val="0"/>
        <w:spacing w:before="0" w:after="240"/>
        <w:jc w:val="left"/>
        <w:rPr/>
      </w:pPr>
      <w:r>
        <w:rPr>
          <w:color w:val="000000"/>
        </w:rPr>
        <w:t>“</w:t>
      </w:r>
      <w:r>
        <w:rPr>
          <w:rFonts w:ascii="Times New Roman" w:hAnsi="Times New Roman"/>
          <w:color w:val="000000"/>
          <w:sz w:val="24"/>
          <w:u w:val="single"/>
        </w:rPr>
        <w:t>Plan Asset Regulation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Portfolio Company</w:t>
      </w:r>
      <w:r>
        <w:rPr>
          <w:rFonts w:ascii="Times New Roman" w:hAnsi="Times New Roman"/>
          <w:color w:val="000000"/>
          <w:sz w:val="20"/>
        </w:rPr>
        <w:t xml:space="preserve">” </w:t>
      </w:r>
      <w:r>
        <w:rPr>
          <w:rFonts w:ascii="Times New Roman" w:hAnsi="Times New Roman"/>
          <w:color w:val="000000"/>
          <w:sz w:val="24"/>
        </w:rPr>
        <w:t>means a portfolio company in which such Person or such Person’s investment funds have made a debt or equity investment (and vice versa).</w:t>
      </w:r>
    </w:p>
    <w:p>
      <w:pPr>
        <w:pStyle w:val="TextBody"/>
        <w:bidi w:val="0"/>
        <w:spacing w:before="0" w:after="240"/>
        <w:jc w:val="left"/>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by and among the Company and the other parties thereto, dated on or about the date hereof, as such agreement may be amended and/or restated from time to time.</w:t>
      </w:r>
    </w:p>
    <w:p>
      <w:pPr>
        <w:pStyle w:val="TextBody"/>
        <w:bidi w:val="0"/>
        <w:spacing w:before="0" w:after="240"/>
        <w:jc w:val="left"/>
        <w:rPr/>
      </w:pPr>
      <w:r>
        <w:rPr>
          <w:color w:val="000000"/>
        </w:rPr>
        <w:t>“</w:t>
      </w:r>
      <w:r>
        <w:rPr>
          <w:rFonts w:ascii="Times New Roman" w:hAnsi="Times New Roman"/>
          <w:color w:val="000000"/>
          <w:sz w:val="24"/>
          <w:u w:val="single"/>
        </w:rPr>
        <w:t>Restated Certificate of Incorporation</w:t>
      </w:r>
      <w:r>
        <w:rPr>
          <w:rFonts w:ascii="Times New Roman" w:hAnsi="Times New Roman"/>
          <w:color w:val="000000"/>
          <w:sz w:val="20"/>
        </w:rPr>
        <w:t xml:space="preserve">” </w:t>
      </w:r>
      <w:r>
        <w:rPr>
          <w:rFonts w:ascii="Times New Roman" w:hAnsi="Times New Roman"/>
          <w:color w:val="000000"/>
          <w:sz w:val="24"/>
        </w:rPr>
        <w:t>means the Amended and Restated Certificate of Incorporation of the Company, dated on or about the date hereof, as such certificate may be amended and/or restated from time to time.</w:t>
      </w:r>
    </w:p>
    <w:p>
      <w:pPr>
        <w:pStyle w:val="TextBody"/>
        <w:bidi w:val="0"/>
        <w:spacing w:before="0" w:after="240"/>
        <w:jc w:val="left"/>
        <w:rPr/>
      </w:pPr>
      <w:r>
        <w:rPr>
          <w:color w:val="000000"/>
        </w:rPr>
        <w:t>“</w:t>
      </w:r>
      <w:r>
        <w:rPr>
          <w:rFonts w:ascii="Times New Roman" w:hAnsi="Times New Roman"/>
          <w:color w:val="000000"/>
          <w:sz w:val="24"/>
        </w:rPr>
        <w:t xml:space="preserve">Series A Convertible </w:t>
      </w:r>
      <w:r>
        <w:rPr>
          <w:rFonts w:ascii="Times New Roman" w:hAnsi="Times New Roman"/>
          <w:color w:val="000000"/>
          <w:sz w:val="24"/>
          <w:u w:val="single"/>
        </w:rPr>
        <w:t>Preferred Stock</w:t>
      </w:r>
      <w:r>
        <w:rPr>
          <w:rFonts w:ascii="Times New Roman" w:hAnsi="Times New Roman"/>
          <w:color w:val="000000"/>
          <w:sz w:val="20"/>
        </w:rPr>
        <w:t xml:space="preserve">” </w:t>
      </w:r>
      <w:r>
        <w:rPr>
          <w:rFonts w:ascii="Times New Roman" w:hAnsi="Times New Roman"/>
          <w:color w:val="000000"/>
          <w:sz w:val="24"/>
        </w:rPr>
        <w:t>means the Series A Convertible Preferred Stock, $0.0001 par value per share, of the Company, that automatically converted into Class A common stock, $0.0001 par value per share, of the Company on the Conversion Date pursuant to the Certificate of Designations.</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pStyle w:val="TextBody"/>
        <w:bidi w:val="0"/>
        <w:spacing w:before="0" w:after="240"/>
        <w:jc w:val="left"/>
        <w:rPr/>
      </w:pPr>
      <w:r>
        <w:rPr>
          <w:color w:val="000000"/>
        </w:rPr>
        <w:t>“</w:t>
      </w:r>
      <w:r>
        <w:rPr>
          <w:rFonts w:ascii="Times New Roman" w:hAnsi="Times New Roman"/>
          <w:color w:val="000000"/>
          <w:sz w:val="24"/>
          <w:u w:val="single"/>
        </w:rPr>
        <w:t>Total Number of Directors</w:t>
      </w:r>
      <w:r>
        <w:rPr>
          <w:rFonts w:ascii="Times New Roman" w:hAnsi="Times New Roman"/>
          <w:color w:val="000000"/>
          <w:sz w:val="20"/>
        </w:rPr>
        <w:t xml:space="preserve">” </w:t>
      </w:r>
      <w:r>
        <w:rPr>
          <w:rFonts w:ascii="Times New Roman" w:hAnsi="Times New Roman"/>
          <w:color w:val="000000"/>
          <w:sz w:val="24"/>
        </w:rPr>
        <w:t>means the total number of directors comprising the Board from time to time.</w:t>
      </w:r>
    </w:p>
    <w:p>
      <w:pPr>
        <w:pStyle w:val="TextBody"/>
        <w:bidi w:val="0"/>
        <w:spacing w:before="0" w:after="240"/>
        <w:jc w:val="left"/>
        <w:rPr/>
      </w:pPr>
      <w:r>
        <w:rPr>
          <w:color w:val="000000"/>
        </w:rPr>
        <w:t>“</w:t>
      </w:r>
      <w:r>
        <w:rPr>
          <w:rFonts w:ascii="Times New Roman" w:hAnsi="Times New Roman"/>
          <w:color w:val="000000"/>
          <w:sz w:val="24"/>
          <w:u w:val="single"/>
        </w:rPr>
        <w:t>Total Outstanding Securities</w:t>
      </w:r>
      <w:r>
        <w:rPr>
          <w:rFonts w:ascii="Times New Roman" w:hAnsi="Times New Roman"/>
          <w:color w:val="000000"/>
          <w:sz w:val="20"/>
        </w:rPr>
        <w:t xml:space="preserve">” </w:t>
      </w:r>
      <w:r>
        <w:rPr>
          <w:rFonts w:ascii="Times New Roman" w:hAnsi="Times New Roman"/>
          <w:color w:val="000000"/>
          <w:sz w:val="24"/>
        </w:rPr>
        <w:t>means, at any time, the total number of outstanding shares of Common Stock.</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Transferor</w:t>
      </w:r>
      <w:r>
        <w:rPr>
          <w:rFonts w:ascii="Times New Roman" w:hAnsi="Times New Roman"/>
          <w:color w:val="000000"/>
          <w:sz w:val="24"/>
        </w:rPr>
        <w:t>,” “</w:t>
      </w:r>
      <w:r>
        <w:rPr>
          <w:rFonts w:ascii="Times New Roman" w:hAnsi="Times New Roman"/>
          <w:color w:val="000000"/>
          <w:sz w:val="24"/>
          <w:u w:val="single"/>
        </w:rPr>
        <w:t>Transferee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Transferred</w:t>
      </w:r>
      <w:r>
        <w:rPr>
          <w:rFonts w:ascii="Times New Roman" w:hAnsi="Times New Roman"/>
          <w:color w:val="000000"/>
          <w:sz w:val="20"/>
        </w:rPr>
        <w:t>”</w:t>
      </w:r>
      <w:r>
        <w:rPr>
          <w:rFonts w:ascii="Times New Roman" w:hAnsi="Times New Roman"/>
          <w:color w:val="000000"/>
          <w:sz w:val="24"/>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shall have such correlative meaning as the context may require. For the avoidance of doubt, it is understood that a Permitted Pledge shall not be a Transfer and the bank or financial institution in respect of whom the Permitted Pledge is made shall not be treated as a transferee or entitled to any rights under this Agreement as a result of such Permitted Pledge or any foreclosure thereunder.</w:t>
      </w:r>
    </w:p>
    <w:p>
      <w:pPr>
        <w:pStyle w:val="TextBody"/>
        <w:bidi w:val="0"/>
        <w:spacing w:before="0" w:after="240"/>
        <w:jc w:val="left"/>
        <w:rPr/>
      </w:pPr>
      <w:r>
        <w:rPr>
          <w:color w:val="000000"/>
        </w:rPr>
        <w:t>“</w:t>
      </w:r>
      <w:r>
        <w:rPr>
          <w:rFonts w:ascii="Times New Roman" w:hAnsi="Times New Roman"/>
          <w:color w:val="000000"/>
          <w:sz w:val="24"/>
          <w:u w:val="single"/>
        </w:rPr>
        <w:t>VCOC Investor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Construction</w:t>
      </w:r>
      <w:r>
        <w:rPr>
          <w:rFonts w:ascii="Times New Roman" w:hAnsi="Times New Roman"/>
          <w:color w:val="000000"/>
          <w:sz w:val="24"/>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II.</w:t>
      </w:r>
      <w:r>
        <w:rPr>
          <w:rFonts w:ascii="Times New Roman" w:hAnsi="Times New Roman"/>
          <w:b w:val="false"/>
          <w:caps/>
          <w:color w:val="000000"/>
          <w:sz w:val="24"/>
        </w:rPr>
        <w:br/>
        <w:t>CORPORATE GOVERNANCE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Election of Directors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Designating Stockholder Representative shall have the right, but not the obligation, to designate one (1) designee (such person a “Designee”) to the Board for so long as the Designating Stockholders and their Affiliates collectively Beneficially Own at least 5% of the of the Total Outstanding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Designating Stockholders and their Affiliates collectively Beneficially Own at least 2% of the Total Outstanding Securities, the Designating Stockholder Representative may designate one (1) non-voting observer to attend meetings of the Board. Except to the extent that the Board determines in its reasonable discretion that the receipt of such materials would prevent the Company from asserting attorney-client privilege, such non-voting observer shall have the same right to receive at the same time and in the same manner as a Director copies of all materials (including copies of all resolutions, consents and meeting minutes) given 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The non-voting observer may be required by the Board to temporarily leave a meeting of the Board if the presence of the non-voting observer would prevent the Company from asserting attorney-client privilege with respect to matters discussed before the Board at such time.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 xml:space="preserve">If at any time the Designating Stockholder Representative has designated fewer than the total number of individuals that it is then entitled to designate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hAnsi="Times New Roman"/>
          <w:color w:val="000000"/>
          <w:sz w:val="24"/>
          <w:u w:val="single"/>
        </w:rPr>
        <w:t>Section 2.1(c)</w:t>
      </w:r>
      <w:r>
        <w:rPr>
          <w:rFonts w:ascii="Times New Roman" w:hAnsi="Times New Roman"/>
          <w:color w:val="000000"/>
          <w:sz w:val="24"/>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Directors are subject to removal or disqualification pursuant to the applicable provisions of the Restated Certificate of Incorporation and applicable law; </w:t>
      </w:r>
      <w:r>
        <w:rPr>
          <w:rFonts w:ascii="Times New Roman" w:hAnsi="Times New Roman"/>
          <w:i/>
          <w:color w:val="000000"/>
          <w:sz w:val="24"/>
        </w:rPr>
        <w:t>provided, however</w:t>
      </w:r>
      <w:r>
        <w:rPr>
          <w:rFonts w:ascii="Times New Roman" w:hAnsi="Times New Roman"/>
          <w:color w:val="000000"/>
          <w:sz w:val="24"/>
        </w:rPr>
        <w:t xml:space="preserve">, for as long as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Stockholders entitled to designate or cause the appointment of such Designee.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Notwithstanding anything to the contrary set forth in the Restated Certificate of Incorporation or bylaws, 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hAnsi="Times New Roman"/>
          <w:color w:val="000000"/>
          <w:sz w:val="24"/>
          <w:u w:val="single"/>
        </w:rPr>
        <w:t>Section 2.1(c)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2.1(g)</w:t>
      </w:r>
      <w:r>
        <w:rPr>
          <w:color w:val="000000"/>
        </w:rPr>
        <w:t xml:space="preserve"> </w:t>
      </w:r>
      <w:r>
        <w:rPr>
          <w:rFonts w:ascii="Times New Roman" w:hAnsi="Times New Roman"/>
          <w:color w:val="000000"/>
          <w:sz w:val="24"/>
        </w:rPr>
        <w:t xml:space="preserve">hereof, the Designating Stockholder Representative shall have the power, at its election, to appoint or cause to be appointed a new Designee to fill such vacancy or the newly created directorship resulting from such increase.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rPr>
        <w:t xml:space="preserve">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 xml:space="preserve">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rPr>
        <w:t xml:space="preserve">In the event that any Designee shall fail to be elected to the Board at any meeting of stockholders called for the purpose of electing directors (or consent in lieu of meeting), 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hAnsi="Times New Roman"/>
          <w:color w:val="000000"/>
          <w:sz w:val="24"/>
          <w:u w:val="single"/>
        </w:rPr>
        <w:t>Section 2.1(g)</w:t>
      </w:r>
      <w:r>
        <w:rPr>
          <w:rFonts w:ascii="Times New Roman" w:hAnsi="Times New Roman"/>
          <w:color w:val="000000"/>
          <w:sz w:val="24"/>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hAnsi="Times New Roman"/>
          <w:color w:val="000000"/>
          <w:sz w:val="24"/>
          <w:u w:val="single"/>
        </w:rPr>
        <w:t>Section 2.1</w:t>
      </w:r>
      <w:r>
        <w:rPr>
          <w:rFonts w:ascii="Times New Roman" w:hAnsi="Times New Roman"/>
          <w:color w:val="000000"/>
          <w:sz w:val="24"/>
        </w:rPr>
        <w:t xml:space="preserve">, including its right to designate a Designee for election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hereof in connection with any future election of directors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Compensation</w:t>
      </w:r>
      <w:r>
        <w:rPr>
          <w:rFonts w:ascii="Times New Roman" w:hAnsi="Times New Roman"/>
          <w:color w:val="000000"/>
          <w:sz w:val="24"/>
        </w:rPr>
        <w:t xml:space="preserve">. Except to the extent the Designating Stockholder Representative may otherwise notify the Company and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Designees shall be entitled to compensation consistent with the compensation received by other non-employee Directors, including any fees and equity awards, </w:t>
      </w:r>
      <w:r>
        <w:rPr>
          <w:rFonts w:ascii="Times New Roman" w:hAnsi="Times New Roman"/>
          <w:i/>
          <w:color w:val="000000"/>
          <w:sz w:val="24"/>
        </w:rPr>
        <w:t>provided</w:t>
      </w:r>
      <w:r>
        <w:rPr>
          <w:rFonts w:ascii="Times New Roman" w:hAnsi="Times New Roman"/>
          <w:color w:val="000000"/>
          <w:sz w:val="24"/>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III.</w:t>
      </w:r>
      <w:r>
        <w:rPr>
          <w:rFonts w:ascii="Times New Roman" w:hAnsi="Times New Roman"/>
          <w:b w:val="false"/>
          <w:caps/>
          <w:color w:val="000000"/>
          <w:sz w:val="24"/>
        </w:rPr>
        <w:br/>
        <w:t>INFORMATION; VCOC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Books and Records; Access</w:t>
      </w:r>
      <w:r>
        <w:rPr>
          <w:rFonts w:ascii="Times New Roman" w:hAnsi="Times New Roman"/>
          <w:color w:val="000000"/>
          <w:sz w:val="24"/>
        </w:rPr>
        <w:t>.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requested by such Designating Stockholders from time to time (all such information so furnished pursuant to this </w:t>
      </w:r>
      <w:r>
        <w:rPr>
          <w:rFonts w:ascii="Times New Roman" w:hAnsi="Times New Roman"/>
          <w:color w:val="000000"/>
          <w:sz w:val="24"/>
          <w:u w:val="single"/>
        </w:rPr>
        <w:t>Section 3.1</w:t>
      </w:r>
      <w:r>
        <w:rPr>
          <w:rFonts w:ascii="Times New Roman" w:hAnsi="Times New Roman"/>
          <w:color w:val="000000"/>
          <w:sz w:val="24"/>
        </w:rPr>
        <w:t>, the “</w:t>
      </w:r>
      <w:r>
        <w:rPr>
          <w:rFonts w:ascii="Times New Roman" w:hAnsi="Times New Roman"/>
          <w:color w:val="000000"/>
          <w:sz w:val="24"/>
          <w:u w:val="single"/>
        </w:rPr>
        <w:t>Information</w:t>
      </w:r>
      <w:r>
        <w:rPr>
          <w:rFonts w:ascii="Times New Roman" w:hAnsi="Times New Roman"/>
          <w:color w:val="000000"/>
          <w:sz w:val="20"/>
        </w:rPr>
        <w:t>”</w:t>
      </w:r>
      <w:r>
        <w:rPr>
          <w:rFonts w:ascii="Times New Roman" w:hAnsi="Times New Roman"/>
          <w:color w:val="000000"/>
          <w:sz w:val="24"/>
        </w:rPr>
        <w:t xml:space="preserve">). Subject to </w:t>
      </w:r>
      <w:r>
        <w:rPr>
          <w:rFonts w:ascii="Times New Roman" w:hAnsi="Times New Roman"/>
          <w:color w:val="000000"/>
          <w:sz w:val="24"/>
          <w:u w:val="single"/>
        </w:rPr>
        <w:t>Section 3.4</w:t>
      </w:r>
      <w:r>
        <w:rPr>
          <w:rFonts w:ascii="Times New Roman" w:hAnsi="Times New Roman"/>
          <w:color w:val="000000"/>
          <w:sz w:val="24"/>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hAnsi="Times New Roman"/>
          <w:color w:val="000000"/>
          <w:sz w:val="24"/>
          <w:u w:val="single"/>
        </w:rPr>
        <w:t xml:space="preserve">Section 3.1 </w:t>
      </w:r>
      <w:r>
        <w:rPr>
          <w:rFonts w:ascii="Times New Roman" w:hAnsi="Times New Roman"/>
          <w:color w:val="000000"/>
          <w:sz w:val="24"/>
        </w:rPr>
        <w:t>shall terminate at the time the Designating Stockholders and their Affiliates collectively Beneficially Own less than 1% of the Total Outstanding Securities. The Designating Stockholders may elect from time to time by written notice to the Company not to have such information rights for a predetermined period of time (which may be indefinite).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Certain Reports</w:t>
      </w:r>
      <w:r>
        <w:rPr>
          <w:rFonts w:ascii="Times New Roman" w:hAnsi="Times New Roman"/>
          <w:color w:val="000000"/>
          <w:sz w:val="24"/>
        </w:rPr>
        <w:t>. Until such time as the Designating Stockholders and their Affiliates collectively Beneficially Own less than 1% of the Total Outstanding Securities, the Company shall deliver or cause to be delivered to the Designating Stockholders, at their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otherwise prepared by the Company, operating and capital expenditure budgets and periodic information packages relating to the operations and cash flows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the extent otherwise prepared by the Company, such other reports and information as may be reasonably requested by the Designating Stockholders; </w:t>
      </w:r>
    </w:p>
    <w:p>
      <w:pPr>
        <w:pStyle w:val="TextBody"/>
        <w:bidi w:val="0"/>
        <w:spacing w:before="0" w:after="240"/>
        <w:jc w:val="left"/>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that in the cases of clauses (a) and (b),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VCOC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hAnsi="Times New Roman"/>
          <w:color w:val="000000"/>
          <w:sz w:val="24"/>
          <w:u w:val="single"/>
        </w:rPr>
        <w:t>Plan Asset Regulation</w:t>
      </w:r>
      <w:r>
        <w:rPr>
          <w:color w:val="000000"/>
        </w:rPr>
        <w:t>”</w:t>
      </w:r>
      <w:r>
        <w:rPr>
          <w:rFonts w:ascii="Times New Roman" w:hAnsi="Times New Roman"/>
          <w:color w:val="000000"/>
          <w:sz w:val="24"/>
        </w:rPr>
        <w:t>) (each, a “</w:t>
      </w:r>
      <w:r>
        <w:rPr>
          <w:rFonts w:ascii="Times New Roman" w:hAnsi="Times New Roman"/>
          <w:color w:val="000000"/>
          <w:sz w:val="24"/>
          <w:u w:val="single"/>
        </w:rPr>
        <w:t>VCOC Investor</w:t>
      </w:r>
      <w:r>
        <w:rPr>
          <w:color w:val="000000"/>
        </w:rPr>
        <w:t>”</w:t>
      </w:r>
      <w:r>
        <w:rPr>
          <w:rFonts w:ascii="Times New Roman" w:hAnsi="Times New Roman"/>
          <w:color w:val="000000"/>
          <w:sz w:val="24"/>
        </w:rPr>
        <w:t>, and together, the “</w:t>
      </w:r>
      <w:r>
        <w:rPr>
          <w:rFonts w:ascii="Times New Roman" w:hAnsi="Times New Roman"/>
          <w:color w:val="000000"/>
          <w:sz w:val="24"/>
          <w:u w:val="single"/>
        </w:rPr>
        <w:t>VCOC Investors</w:t>
      </w:r>
      <w:r>
        <w:rPr>
          <w:color w:val="000000"/>
        </w:rPr>
        <w:t>”</w:t>
      </w:r>
      <w:r>
        <w:rPr>
          <w:rFonts w:ascii="Times New Roman" w:hAnsi="Times New Roman"/>
          <w:color w:val="000000"/>
          <w:sz w:val="24"/>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 each VCOC Investor or its designated representative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reasonable notice and at mutually convenient times, the right to visit and inspect any of the offices and properties of the Company and its Subsidiaries and inspect and copy the books and records of the Company and its Subsidiaries;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upon written request by a VCOC Investor, copies of all materials provided to the Board, subject to appropriate protections with respect to confidentiality and preservation of attorney-client privilege; </w:t>
      </w:r>
      <w:r>
        <w:rPr>
          <w:rFonts w:ascii="Times New Roman" w:hAnsi="Times New Roman"/>
          <w:i/>
          <w:color w:val="000000"/>
          <w:sz w:val="24"/>
        </w:rPr>
        <w:t>provided</w:t>
      </w:r>
      <w:r>
        <w:rPr>
          <w:rFonts w:ascii="Times New Roman" w:hAnsi="Times New Roman"/>
          <w:color w:val="000000"/>
          <w:sz w:val="24"/>
        </w:rPr>
        <w:t xml:space="preserve">, that, in each case, if the Company makes the information described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3.3(a)(i)</w:t>
      </w:r>
      <w:r>
        <w:rPr>
          <w:color w:val="000000"/>
        </w:rPr>
        <w:t xml:space="preserve"> </w:t>
      </w:r>
      <w:r>
        <w:rPr>
          <w:rFonts w:ascii="Times New Roman" w:hAnsi="Times New Roman"/>
          <w:color w:val="000000"/>
          <w:sz w:val="24"/>
        </w:rPr>
        <w:t>available through public filings on the EDGAR System or any successor or replacement system of the U.S. Securities and Exchange Commission, the requirement to deliver such information shall be deemed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40"/>
        <w:jc w:val="left"/>
        <w:rPr/>
      </w:pPr>
      <w:r>
        <w:rPr>
          <w:rFonts w:ascii="Times New Roman" w:hAnsi="Times New Roman"/>
          <w:color w:val="000000"/>
          <w:sz w:val="24"/>
        </w:rPr>
        <w:t xml:space="preserve">The Company agrees to consider, in good faith, the recommendations of each VCOC Investor or its designated representative in connection with the matters on which it is consulted as described above in this </w:t>
      </w:r>
      <w:r>
        <w:rPr>
          <w:rFonts w:ascii="Times New Roman" w:hAnsi="Times New Roman"/>
          <w:color w:val="000000"/>
          <w:sz w:val="24"/>
          <w:u w:val="single"/>
        </w:rPr>
        <w:t>Section 3.3</w:t>
      </w:r>
      <w:r>
        <w:rPr>
          <w:rFonts w:ascii="Times New Roman" w:hAnsi="Times New Roman"/>
          <w:color w:val="000000"/>
          <w:sz w:val="24"/>
        </w:rPr>
        <w:t>, recognizing that the ultimate discretion with respect to all such matters shall be retained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hAnsi="Times New Roman"/>
          <w:color w:val="000000"/>
          <w:sz w:val="24"/>
          <w:u w:val="single"/>
        </w:rPr>
        <w:t>Sections 3.3(a)</w:t>
      </w:r>
      <w:r>
        <w:rPr>
          <w:rFonts w:ascii="Times New Roman" w:hAnsi="Times New Roman"/>
          <w:color w:val="000000"/>
          <w:sz w:val="24"/>
        </w:rPr>
        <w:t xml:space="preserve">, </w:t>
      </w:r>
      <w:r>
        <w:rPr>
          <w:rFonts w:ascii="Times New Roman" w:hAnsi="Times New Roman"/>
          <w:color w:val="000000"/>
          <w:sz w:val="24"/>
          <w:u w:val="single"/>
        </w:rPr>
        <w:t>3.3(b)</w:t>
      </w:r>
      <w:r>
        <w:rPr>
          <w:rFonts w:ascii="Times New Roman" w:hAnsi="Times New Roman"/>
          <w:color w:val="000000"/>
          <w:sz w:val="24"/>
        </w:rPr>
        <w:t xml:space="preserve">, and </w:t>
      </w:r>
      <w:r>
        <w:rPr>
          <w:rFonts w:ascii="Times New Roman" w:hAnsi="Times New Roman"/>
          <w:color w:val="000000"/>
          <w:sz w:val="24"/>
          <w:u w:val="single"/>
        </w:rPr>
        <w:t>3.3(c)</w:t>
      </w:r>
      <w:r>
        <w:rPr>
          <w:color w:val="000000"/>
        </w:rPr>
        <w:t xml:space="preserve"> </w:t>
      </w:r>
      <w:r>
        <w:rPr>
          <w:rFonts w:ascii="Times New Roman" w:hAnsi="Times New Roman"/>
          <w:color w:val="000000"/>
          <w:sz w:val="24"/>
        </w:rPr>
        <w:t>hereof in a form and substance satisfactory to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In the event a VCOC Investor is an Affiliate of a Designating Stockholder, as described in </w:t>
      </w:r>
      <w:r>
        <w:rPr>
          <w:rFonts w:ascii="Times New Roman" w:hAnsi="Times New Roman"/>
          <w:color w:val="000000"/>
          <w:sz w:val="24"/>
          <w:u w:val="single"/>
        </w:rPr>
        <w:t>Section 3.3(a)</w:t>
      </w:r>
      <w:r>
        <w:rPr>
          <w:color w:val="000000"/>
        </w:rPr>
        <w:t xml:space="preserve"> </w:t>
      </w:r>
      <w:r>
        <w:rPr>
          <w:rFonts w:ascii="Times New Roman" w:hAnsi="Times New Roman"/>
          <w:color w:val="000000"/>
          <w:sz w:val="24"/>
        </w:rPr>
        <w:t xml:space="preserve">above, such affiliated entity shall be afforded the same rights with respect to the Company and afforded to the Designating Stockholders under this </w:t>
      </w:r>
      <w:r>
        <w:rPr>
          <w:rFonts w:ascii="Times New Roman" w:hAnsi="Times New Roman"/>
          <w:color w:val="000000"/>
          <w:sz w:val="24"/>
          <w:u w:val="single"/>
        </w:rPr>
        <w:t>Section 3.3</w:t>
      </w:r>
      <w:r>
        <w:rPr>
          <w:color w:val="000000"/>
        </w:rPr>
        <w:t xml:space="preserve"> </w:t>
      </w:r>
      <w:r>
        <w:rPr>
          <w:rFonts w:ascii="Times New Roman" w:hAnsi="Times New Roman"/>
          <w:color w:val="000000"/>
          <w:sz w:val="24"/>
        </w:rPr>
        <w:t>and shall be treated, for such purposes, as a third party beneficiary hereunder.</w:t>
      </w:r>
      <w:r>
        <w:rPr>
          <w:color w:val="00000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Confidentiality</w:t>
      </w:r>
      <w:r>
        <w:rPr>
          <w:rFonts w:ascii="Times New Roman" w:hAnsi="Times New Roman"/>
          <w:color w:val="000000"/>
          <w:sz w:val="24"/>
        </w:rPr>
        <w:t xml:space="preserve">. Each Designating Stockholder agrees that it will, and will direct its designated representatives to, keep confidential and not disclose any Confidential Information;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such Designating Stockholder and its designated representatives may disclose Confidential Information to any other Designating Stockholders (including any Designating Stockholders, Designees, or non-voting observers pursuant to any other stockholders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agency or authority having or claiming jurisdiction over such party or any of its properties or assets, </w:t>
      </w:r>
      <w:r>
        <w:rPr>
          <w:rFonts w:ascii="Times New Roman" w:hAnsi="Times New Roman"/>
          <w:i/>
          <w:color w:val="000000"/>
          <w:sz w:val="24"/>
        </w:rPr>
        <w:t>provided</w:t>
      </w:r>
      <w:r>
        <w:rPr>
          <w:rFonts w:ascii="Times New Roman" w:hAnsi="Times New Roman"/>
          <w:color w:val="000000"/>
          <w:sz w:val="24"/>
        </w:rPr>
        <w:t xml:space="preserve">, that such Designating Stockholder or designated representative takes reasonable steps to minimize the extent of any such required disclosure,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each Designating Stockholder agrees to be responsible for any breaches of this </w:t>
      </w: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rPr>
        <w:t>by such Designating Stockholder’s designated representatives.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Information Sharing</w:t>
      </w:r>
      <w:r>
        <w:rPr>
          <w:rFonts w:ascii="Times New Roman" w:hAnsi="Times New Roman"/>
          <w:color w:val="000000"/>
          <w:sz w:val="24"/>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hAnsi="Times New Roman"/>
          <w:color w:val="000000"/>
          <w:sz w:val="24"/>
          <w:u w:val="single"/>
        </w:rPr>
        <w:t>Section 3.4</w:t>
      </w:r>
      <w:r>
        <w:rPr>
          <w:rFonts w:ascii="Times New Roman" w:hAnsi="Times New Roman"/>
          <w:color w:val="000000"/>
          <w:sz w:val="24"/>
        </w:rPr>
        <w:t>).</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IV.</w:t>
      </w:r>
      <w:r>
        <w:rPr>
          <w:rFonts w:ascii="Times New Roman" w:hAnsi="Times New Roman"/>
          <w:b w:val="false"/>
          <w:caps/>
          <w:color w:val="000000"/>
          <w:sz w:val="24"/>
        </w:rPr>
        <w:br/>
        <w:t>ADDITIONAL COVENANTS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Pledges or Transfers</w:t>
      </w:r>
      <w:r>
        <w:rPr>
          <w:rFonts w:ascii="Times New Roman" w:hAnsi="Times New Roman"/>
          <w:color w:val="000000"/>
          <w:sz w:val="24"/>
        </w:rPr>
        <w:t>. Upon the request of any Designating Stockholder that wishes to (x) pledge, hypothecate or grant security interests in any or all of the shares of Common Stock held by it including to banks or financial institutions as collateral or security for loans, advances or extensions of credit or (y) Transfer any or all of the shares of Common Stock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Spin-Offs or Split-Offs</w:t>
      </w:r>
      <w:r>
        <w:rPr>
          <w:rFonts w:ascii="Times New Roman" w:hAnsi="Times New Roman"/>
          <w:color w:val="000000"/>
          <w:sz w:val="24"/>
        </w:rPr>
        <w:t>. In the event that the Company effects the separation of any portion of its business into one or more entities (each, a “</w:t>
      </w:r>
      <w:r>
        <w:rPr>
          <w:rFonts w:ascii="Times New Roman" w:hAnsi="Times New Roman"/>
          <w:color w:val="000000"/>
          <w:sz w:val="24"/>
          <w:u w:val="single"/>
        </w:rPr>
        <w:t>NewCo</w:t>
      </w:r>
      <w:r>
        <w:rPr>
          <w:rFonts w:ascii="Times New Roman" w:hAnsi="Times New Roman"/>
          <w:color w:val="000000"/>
          <w:sz w:val="20"/>
        </w:rPr>
        <w:t>”</w:t>
      </w:r>
      <w:r>
        <w:rPr>
          <w:rFonts w:ascii="Times New Roman" w:hAnsi="Times New Roman"/>
          <w:color w:val="000000"/>
          <w:sz w:val="24"/>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stockholders agreement with the Designating Stockholders that provides the Designating Stockholders with rights vis-à-vis such NewCo that are substantially identical to those set forth in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Expense Reimbursement</w:t>
      </w:r>
      <w:r>
        <w:rPr>
          <w:rFonts w:ascii="Times New Roman" w:hAnsi="Times New Roman"/>
          <w:color w:val="000000"/>
          <w:sz w:val="24"/>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respective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Additional Issuances for Earn-Out</w:t>
      </w:r>
      <w:r>
        <w:rPr>
          <w:rFonts w:ascii="Times New Roman" w:hAnsi="Times New Roman"/>
          <w:color w:val="000000"/>
          <w:sz w:val="24"/>
        </w:rPr>
        <w:t>. In the event the Company makes any payment in respect of its existing earn-out obligations under Section 2.15 of the 2020 Merger Agreement after the Conversion Date, such that had any Series A Convertible Preferred Stock remained outstanding as of the date of such earn-out payment, the Conversion Price (as defined in the Certificate of Designations) with respect to such shares of converted Series A Convertible Preferred Stock would have been adjusted pursuant to Section 6(d)(i) of the Certificate of Designations, then the Company shall issue to the Designating Stockholders that held such shares of Series A Convertible Preferred Stock as of the Conversion Date, a number of shares of Common Stock equal to the incremental number of shares of Common Stock such Designating Stockholders holding Series A Convertible Preferred Stock would have incrementally been entitled to upon conversion of such shares of Series A Convertible Preferred Stock had such earn-out payment been made by the Company prior to the Conversion Date. The Company and the Designating Stockholder hereby agree that (a) the illustrative calculation of the Conversion Price adjustment described herein has been provided to the GA Holders (the “</w:t>
      </w:r>
      <w:r>
        <w:rPr>
          <w:rFonts w:ascii="Times New Roman" w:hAnsi="Times New Roman"/>
          <w:color w:val="000000"/>
          <w:sz w:val="24"/>
          <w:u w:val="single"/>
        </w:rPr>
        <w:t>Illustrative Calculation</w:t>
      </w:r>
      <w:r>
        <w:rPr>
          <w:rFonts w:ascii="Times New Roman" w:hAnsi="Times New Roman"/>
          <w:color w:val="000000"/>
          <w:sz w:val="20"/>
        </w:rPr>
        <w:t>”</w:t>
      </w:r>
      <w:r>
        <w:rPr>
          <w:rFonts w:ascii="Times New Roman" w:hAnsi="Times New Roman"/>
          <w:color w:val="000000"/>
          <w:sz w:val="24"/>
        </w:rPr>
        <w:t>) and (b) in the event that the Company makes any payment in respect of its existing earn-out obligations under Section 2.15 of the 2020 Merger Agreement, the adjustment to the calculation (a “</w:t>
      </w:r>
      <w:r>
        <w:rPr>
          <w:rFonts w:ascii="Times New Roman" w:hAnsi="Times New Roman"/>
          <w:color w:val="000000"/>
          <w:sz w:val="24"/>
          <w:u w:val="single"/>
        </w:rPr>
        <w:t>Post-IPO Issuance Calculation</w:t>
      </w:r>
      <w:r>
        <w:rPr>
          <w:rFonts w:ascii="Times New Roman" w:hAnsi="Times New Roman"/>
          <w:color w:val="000000"/>
          <w:sz w:val="20"/>
        </w:rPr>
        <w:t>”</w:t>
      </w:r>
      <w:r>
        <w:rPr>
          <w:rFonts w:ascii="Times New Roman" w:hAnsi="Times New Roman"/>
          <w:color w:val="000000"/>
          <w:sz w:val="24"/>
        </w:rPr>
        <w:t>) of the number of shares of Common Stock to be issued to the applicable Designating Stockholder will be calculated in accordance with the methodology set forth in the Illustrative Calculation (it being understood for clarity that rows 5-9 shall be calculated (i) in the case of the Designating Stockholders’ fully diluted ownership (row 7), based on the number of shares of Common Stock resulting from the conversion of the Series A Convertible Preferred Stock held by the Designating Stockholders at the time of conversion (row 6) and using the treasury stock method as of the date such earn-out payment is paid to calculate the fully diluted shares outstanding as of the date the earn-out payment is paid (row 5), and (ii) in the case of the Company’s share price (row 9), using a six-month volume-weighted average price ending on the last trading day of the most recent fiscal quarter prior to the payment of such earn-out payment).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V.</w:t>
      </w:r>
      <w:r>
        <w:rPr>
          <w:rFonts w:ascii="Times New Roman" w:hAnsi="Times New Roman"/>
          <w:b w:val="false"/>
          <w:caps/>
          <w:color w:val="000000"/>
          <w:sz w:val="24"/>
        </w:rPr>
        <w:br/>
        <w:t>INDEMNIFICATION; LIABILITY INSURANCE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Indemnification of Designating Stockholder</w:t>
      </w:r>
      <w:r>
        <w:rPr>
          <w:rFonts w:ascii="Times New Roman" w:hAnsi="Times New Roman"/>
          <w:color w:val="000000"/>
          <w:sz w:val="24"/>
        </w:rPr>
        <w:t>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hAnsi="Times New Roman"/>
          <w:color w:val="000000"/>
          <w:sz w:val="24"/>
          <w:u w:val="single"/>
        </w:rPr>
        <w:t>Indemnitees</w:t>
      </w:r>
      <w:r>
        <w:rPr>
          <w:rFonts w:ascii="Times New Roman" w:hAnsi="Times New Roman"/>
          <w:color w:val="000000"/>
          <w:sz w:val="20"/>
        </w:rPr>
        <w:t>”</w:t>
      </w:r>
      <w:r>
        <w:rPr>
          <w:rFonts w:ascii="Times New Roman" w:hAnsi="Times New Roman"/>
          <w:color w:val="000000"/>
          <w:sz w:val="24"/>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hAnsi="Times New Roman"/>
          <w:color w:val="000000"/>
          <w:sz w:val="24"/>
          <w:u w:val="single"/>
        </w:rPr>
        <w:t>Indemnified Liabilities</w:t>
      </w:r>
      <w:r>
        <w:rPr>
          <w:rFonts w:ascii="Times New Roman" w:hAnsi="Times New Roman"/>
          <w:color w:val="000000"/>
          <w:sz w:val="20"/>
        </w:rPr>
        <w:t>”</w:t>
      </w:r>
      <w:r>
        <w:rPr>
          <w:rFonts w:ascii="Times New Roman" w:hAnsi="Times New Roman"/>
          <w:color w:val="000000"/>
          <w:sz w:val="24"/>
        </w:rPr>
        <w:t>), arising out of any action, cause of action, suit, litigation, investigation, inquiry, arbitration or claim by any Person (other than the Company or any of its Subsidiaries) against any Indemnitee (each, an “</w:t>
      </w:r>
      <w:r>
        <w:rPr>
          <w:rFonts w:ascii="Times New Roman" w:hAnsi="Times New Roman"/>
          <w:color w:val="000000"/>
          <w:sz w:val="24"/>
          <w:u w:val="single"/>
        </w:rPr>
        <w:t>Action</w:t>
      </w:r>
      <w:r>
        <w:rPr>
          <w:rFonts w:ascii="Times New Roman" w:hAnsi="Times New Roman"/>
          <w:color w:val="000000"/>
          <w:sz w:val="20"/>
        </w:rPr>
        <w:t>”</w:t>
      </w:r>
      <w:r>
        <w:rPr>
          <w:rFonts w:ascii="Times New Roman" w:hAnsi="Times New Roman"/>
          <w:color w:val="000000"/>
          <w:sz w:val="24"/>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indemnification rights in this </w:t>
      </w:r>
      <w:r>
        <w:rPr>
          <w:rFonts w:ascii="Times New Roman" w:hAnsi="Times New Roman"/>
          <w:color w:val="000000"/>
          <w:sz w:val="24"/>
          <w:u w:val="single"/>
        </w:rPr>
        <w:t>Section 5.1(a)</w:t>
      </w:r>
      <w:r>
        <w:rPr>
          <w:rFonts w:ascii="Times New Roman" w:hAnsi="Times New Roman"/>
          <w:color w:val="000000"/>
          <w:sz w:val="20"/>
        </w:rPr>
        <w:t xml:space="preserve"> </w:t>
      </w:r>
      <w:r>
        <w:rPr>
          <w:rFonts w:ascii="Times New Roman" w:hAnsi="Times New Roman"/>
          <w:color w:val="000000"/>
          <w:sz w:val="24"/>
        </w:rPr>
        <w:t xml:space="preserve">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 xml:space="preserve">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hAnsi="Times New Roman"/>
          <w:color w:val="000000"/>
          <w:sz w:val="24"/>
          <w:u w:val="single"/>
        </w:rPr>
        <w:t>Section 5.1</w:t>
      </w:r>
      <w:r>
        <w:rPr>
          <w:rFonts w:ascii="Times New Roman" w:hAnsi="Times New Roman"/>
          <w:color w:val="000000"/>
          <w:sz w:val="24"/>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or any action or proceeding arising therefrom, whether or not such Indemnitee is a party thereto. The Company or its Subsidiaries, in the defense of any Action for which an Indemnitee would be entitled to indemnification under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terms of this </w:t>
      </w:r>
      <w:r>
        <w:rPr>
          <w:rFonts w:ascii="Times New Roman" w:hAnsi="Times New Roman"/>
          <w:color w:val="000000"/>
          <w:sz w:val="24"/>
          <w:u w:val="single"/>
        </w:rPr>
        <w:t>Article V</w:t>
      </w:r>
      <w:r>
        <w:rPr>
          <w:rFonts w:ascii="Times New Roman" w:hAnsi="Times New Roman"/>
          <w:color w:val="000000"/>
          <w:sz w:val="24"/>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Jointly Indemnifiable Claims</w:t>
      </w:r>
      <w:r>
        <w:rPr>
          <w:rFonts w:ascii="Times New Roman" w:hAnsi="Times New Roman"/>
          <w:color w:val="000000"/>
          <w:sz w:val="24"/>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hAnsi="Times New Roman"/>
          <w:color w:val="000000"/>
          <w:sz w:val="24"/>
          <w:u w:val="single"/>
        </w:rPr>
        <w:t>Indemnification Sources</w:t>
      </w:r>
      <w:r>
        <w:rPr>
          <w:rFonts w:ascii="Times New Roman" w:hAnsi="Times New Roman"/>
          <w:color w:val="000000"/>
          <w:sz w:val="20"/>
        </w:rPr>
        <w:t>”</w:t>
      </w:r>
      <w:r>
        <w:rPr>
          <w:rFonts w:ascii="Times New Roman" w:hAnsi="Times New Roman"/>
          <w:color w:val="000000"/>
          <w:sz w:val="24"/>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hAnsi="Times New Roman"/>
          <w:color w:val="000000"/>
          <w:sz w:val="24"/>
          <w:u w:val="single"/>
        </w:rPr>
        <w:t>Indemnitee-Related Entities</w:t>
      </w:r>
      <w:r>
        <w:rPr>
          <w:rFonts w:ascii="Times New Roman" w:hAnsi="Times New Roman"/>
          <w:color w:val="000000"/>
          <w:sz w:val="20"/>
        </w:rPr>
        <w:t>”</w:t>
      </w:r>
      <w:r>
        <w:rPr>
          <w:rFonts w:ascii="Times New Roman" w:hAnsi="Times New Roman"/>
          <w:color w:val="000000"/>
          <w:sz w:val="24"/>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hAnsi="Times New Roman"/>
          <w:color w:val="000000"/>
          <w:sz w:val="24"/>
          <w:u w:val="single"/>
        </w:rPr>
        <w:t>Section 5.2</w:t>
      </w:r>
      <w:r>
        <w:rPr>
          <w:rFonts w:ascii="Times New Roman" w:hAnsi="Times New Roman"/>
          <w:color w:val="000000"/>
          <w:sz w:val="24"/>
        </w:rPr>
        <w:t xml:space="preserve">, entitled to enforce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Indemnitee-Related Entity were a party to this Agreement. The Company shall cause each of its Subsidiaries to perform the terms and obligations of this </w:t>
      </w:r>
      <w:r>
        <w:rPr>
          <w:rFonts w:ascii="Times New Roman" w:hAnsi="Times New Roman"/>
          <w:color w:val="000000"/>
          <w:sz w:val="24"/>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5.2</w:t>
      </w:r>
      <w:r>
        <w:rPr>
          <w:rFonts w:ascii="Times New Roman" w:hAnsi="Times New Roman"/>
          <w:color w:val="000000"/>
          <w:sz w:val="20"/>
        </w:rPr>
        <w:t xml:space="preserve"> </w:t>
      </w:r>
      <w:r>
        <w:rPr>
          <w:rFonts w:ascii="Times New Roman" w:hAnsi="Times New Roman"/>
          <w:color w:val="000000"/>
          <w:sz w:val="24"/>
        </w:rPr>
        <w:t xml:space="preserve">as though each such Subsidiary was a party to this Agreement. For purposes of this </w:t>
      </w:r>
      <w:r>
        <w:rPr>
          <w:rFonts w:ascii="Times New Roman" w:hAnsi="Times New Roman"/>
          <w:color w:val="000000"/>
          <w:sz w:val="24"/>
          <w:u w:val="single"/>
        </w:rPr>
        <w:t>Section 5.2</w:t>
      </w:r>
      <w:r>
        <w:rPr>
          <w:rFonts w:ascii="Times New Roman" w:hAnsi="Times New Roman"/>
          <w:color w:val="000000"/>
          <w:sz w:val="24"/>
        </w:rPr>
        <w:t>, the term “</w:t>
      </w:r>
      <w:r>
        <w:rPr>
          <w:rFonts w:ascii="Times New Roman" w:hAnsi="Times New Roman"/>
          <w:color w:val="000000"/>
          <w:sz w:val="24"/>
          <w:u w:val="single"/>
        </w:rPr>
        <w:t>Jointly Indemnifiable Claims</w:t>
      </w:r>
      <w:r>
        <w:rPr>
          <w:rFonts w:ascii="Times New Roman" w:hAnsi="Times New Roman"/>
          <w:color w:val="000000"/>
          <w:sz w:val="20"/>
        </w:rPr>
        <w:t xml:space="preserve">” </w:t>
      </w:r>
      <w:r>
        <w:rPr>
          <w:rFonts w:ascii="Times New Roman" w:hAnsi="Times New Roman"/>
          <w:color w:val="000000"/>
          <w:sz w:val="24"/>
        </w:rPr>
        <w:t>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Non-Exclusive Right</w:t>
      </w:r>
      <w:r>
        <w:rPr>
          <w:rFonts w:ascii="Times New Roman" w:hAnsi="Times New Roman"/>
          <w:color w:val="000000"/>
          <w:sz w:val="24"/>
        </w:rPr>
        <w:t xml:space="preserve">. The rights of any Indemnitee to indemnification in this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Directors and Officers Insurance</w:t>
      </w:r>
      <w:r>
        <w:rPr>
          <w:rFonts w:ascii="Times New Roman" w:hAnsi="Times New Roman"/>
          <w:color w:val="000000"/>
          <w:sz w:val="24"/>
        </w:rPr>
        <w:t>. The Company shall use its reasonable best efforts to purchase and maintain a policy or policies of directors’ and officers’ liability insurance which insurance shall cover each member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Other Rights of Designees</w:t>
      </w:r>
      <w:r>
        <w:rPr>
          <w:rFonts w:ascii="Times New Roman" w:hAnsi="Times New Roman"/>
          <w:color w:val="000000"/>
          <w:sz w:val="24"/>
        </w:rPr>
        <w:t xml:space="preserve">. Except as provided in </w:t>
      </w:r>
      <w:r>
        <w:rPr>
          <w:rFonts w:ascii="Times New Roman" w:hAnsi="Times New Roman"/>
          <w:color w:val="000000"/>
          <w:sz w:val="24"/>
          <w:u w:val="single"/>
        </w:rPr>
        <w:t>Section 2.2</w:t>
      </w:r>
      <w:r>
        <w:rPr>
          <w:rFonts w:ascii="Times New Roman" w:hAnsi="Times New Roman"/>
          <w:color w:val="000000"/>
          <w:sz w:val="24"/>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VI.</w:t>
      </w:r>
      <w:r>
        <w:rPr>
          <w:rFonts w:ascii="Times New Roman" w:hAnsi="Times New Roman"/>
          <w:b w:val="false"/>
          <w:caps/>
          <w:color w:val="000000"/>
          <w:sz w:val="24"/>
        </w:rPr>
        <w:br/>
        <w:t>GENERAL PROVISIONS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Termination</w:t>
      </w:r>
      <w:r>
        <w:rPr>
          <w:rFonts w:ascii="Times New Roman" w:hAnsi="Times New Roman"/>
          <w:color w:val="000000"/>
          <w:sz w:val="24"/>
        </w:rPr>
        <w:t xml:space="preserve">. Subject to the early termination of any provision as a result of an amendment to this Agreement agreed to by the Board and the Designating Stockholders, as provided under </w:t>
      </w:r>
      <w:r>
        <w:rPr>
          <w:rFonts w:ascii="Times New Roman" w:hAnsi="Times New Roman"/>
          <w:color w:val="000000"/>
          <w:sz w:val="24"/>
          <w:u w:val="single"/>
        </w:rPr>
        <w:t>Section 6.3</w:t>
      </w:r>
      <w:r>
        <w:rPr>
          <w:rFonts w:ascii="Times New Roman" w:hAnsi="Times New Roman"/>
          <w:color w:val="000000"/>
          <w:sz w:val="24"/>
        </w:rPr>
        <w:t xml:space="preserve">, and except for </w:t>
      </w:r>
      <w:r>
        <w:rPr>
          <w:rFonts w:ascii="Times New Roman" w:hAnsi="Times New Roman"/>
          <w:color w:val="000000"/>
          <w:sz w:val="24"/>
          <w:u w:val="single"/>
        </w:rPr>
        <w:t>Section 3.1</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hereof, which shall terminate as provided in those Sections, and the rest of this Agreement, excluding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hereof shall terminate.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Notices</w:t>
      </w:r>
      <w:r>
        <w:rPr>
          <w:rFonts w:ascii="Times New Roman" w:hAnsi="Times New Roman"/>
          <w:color w:val="000000"/>
          <w:sz w:val="24"/>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address is:</w:t>
      </w:r>
    </w:p>
    <w:p>
      <w:pPr>
        <w:pStyle w:val="TextBody"/>
        <w:bidi w:val="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Liftoff Mobile, Inc.</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900 Middlefield Road, 2</w:t>
            </w:r>
            <w:r>
              <w:rPr>
                <w:rFonts w:ascii="Times New Roman" w:hAnsi="Times New Roman"/>
                <w:color w:val="000000"/>
                <w:sz w:val="16"/>
              </w:rPr>
              <w:t>nd</w:t>
            </w:r>
            <w:r>
              <w:rPr>
                <w:rFonts w:ascii="Times New Roman" w:hAnsi="Times New Roman"/>
                <w:color w:val="000000"/>
                <w:sz w:val="24"/>
              </w:rPr>
              <w:t xml:space="preserve"> Floor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Redwood City, CA 94063 </w:t>
            </w:r>
          </w:p>
        </w:tc>
      </w:tr>
    </w:tbl>
    <w:p>
      <w:pPr>
        <w:pStyle w:val="TextBody"/>
        <w:bidi w:val="0"/>
        <w:jc w:val="left"/>
        <w:rPr/>
      </w:pPr>
      <w:r>
        <w:rPr/>
        <w:t> </w:t>
      </w:r>
    </w:p>
    <w:tbl>
      <w:tblPr>
        <w:tblW w:w="2702" w:type="dxa"/>
        <w:jc w:val="left"/>
        <w:tblInd w:w="0" w:type="dxa"/>
        <w:tblLayout w:type="fixed"/>
        <w:tblCellMar>
          <w:top w:w="28" w:type="dxa"/>
          <w:left w:w="28" w:type="dxa"/>
          <w:bottom w:w="28" w:type="dxa"/>
          <w:right w:w="28" w:type="dxa"/>
        </w:tblCellMar>
      </w:tblPr>
      <w:tblGrid>
        <w:gridCol w:w="1126"/>
        <w:gridCol w:w="1576"/>
      </w:tblGrid>
      <w:tr>
        <w:trPr/>
        <w:tc>
          <w:tcPr>
            <w:tcW w:w="11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Designating Stockholder’s address is:</w:t>
      </w:r>
    </w:p>
    <w:p>
      <w:pPr>
        <w:pStyle w:val="TextBody"/>
        <w:bidi w:val="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Atlantic, L.P.</w:t>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55 East 52</w:t>
            </w:r>
            <w:r>
              <w:rPr>
                <w:rFonts w:ascii="Times New Roman" w:hAnsi="Times New Roman"/>
                <w:color w:val="000000"/>
                <w:sz w:val="16"/>
              </w:rPr>
              <w:t>nd</w:t>
            </w:r>
            <w:r>
              <w:rPr>
                <w:rFonts w:ascii="Times New Roman" w:hAnsi="Times New Roman"/>
                <w:color w:val="000000"/>
                <w:sz w:val="24"/>
              </w:rPr>
              <w:t> Street, 32</w:t>
            </w:r>
            <w:r>
              <w:rPr>
                <w:rFonts w:ascii="Times New Roman" w:hAnsi="Times New Roman"/>
                <w:color w:val="000000"/>
                <w:sz w:val="16"/>
              </w:rPr>
              <w:t>nd</w:t>
            </w:r>
            <w:r>
              <w:rPr>
                <w:rFonts w:ascii="Times New Roman" w:hAnsi="Times New Roman"/>
                <w:color w:val="000000"/>
                <w:sz w:val="24"/>
              </w:rPr>
              <w:t> Floor</w:t>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New York, NY 10055 </w:t>
            </w:r>
          </w:p>
        </w:tc>
      </w:tr>
    </w:tbl>
    <w:p>
      <w:pPr>
        <w:pStyle w:val="TextBody"/>
        <w:bidi w:val="0"/>
        <w:jc w:val="left"/>
        <w:rPr/>
      </w:pPr>
      <w:r>
        <w:rPr/>
        <w:t> </w:t>
      </w:r>
    </w:p>
    <w:tbl>
      <w:tblPr>
        <w:tblW w:w="2912" w:type="dxa"/>
        <w:jc w:val="left"/>
        <w:tblInd w:w="0" w:type="dxa"/>
        <w:tblLayout w:type="fixed"/>
        <w:tblCellMar>
          <w:top w:w="28" w:type="dxa"/>
          <w:left w:w="28" w:type="dxa"/>
          <w:bottom w:w="28" w:type="dxa"/>
          <w:right w:w="28" w:type="dxa"/>
        </w:tblCellMar>
      </w:tblPr>
      <w:tblGrid>
        <w:gridCol w:w="1066"/>
        <w:gridCol w:w="1846"/>
      </w:tblGrid>
      <w:tr>
        <w:trPr/>
        <w:tc>
          <w:tcPr>
            <w:tcW w:w="10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Gordon Cruess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Tanzeen Syed</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Frederick Robson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Amendment; Waiver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terms and provisions of this Agreement may be modified or amended only with the written approval of the Company and the Designating Stockholder Representative.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party hereto may unilaterally waive any of its rights hereunder in a signed writing delivered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Further Assurances</w:t>
      </w:r>
      <w:r>
        <w:rPr>
          <w:rFonts w:ascii="Times New Roman" w:hAnsi="Times New Roman"/>
          <w:color w:val="000000"/>
          <w:sz w:val="24"/>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Assignment</w:t>
      </w:r>
      <w:r>
        <w:rPr>
          <w:rFonts w:ascii="Times New Roman" w:hAnsi="Times New Roman"/>
          <w:color w:val="000000"/>
          <w:sz w:val="24"/>
        </w:rPr>
        <w:t xml:space="preserve">. This Agreement may not be assigned without the express prior written consent of the other party hereto, and any attempted assignment, without such consent, will be null and void; </w:t>
      </w:r>
      <w:r>
        <w:rPr>
          <w:rFonts w:ascii="Times New Roman" w:hAnsi="Times New Roman"/>
          <w:i/>
          <w:color w:val="000000"/>
          <w:sz w:val="24"/>
        </w:rPr>
        <w:t>provided</w:t>
      </w:r>
      <w:r>
        <w:rPr>
          <w:rFonts w:ascii="Times New Roman" w:hAnsi="Times New Roman"/>
          <w:color w:val="000000"/>
          <w:sz w:val="24"/>
        </w:rPr>
        <w:t xml:space="preserve">, however, that, without the prior written consent of any other party hereto, a Designating Stockholder may assign or transfer, in its sole discretion, its rights and obligations under this Agreement, in whole or in part, to any Permitted Transferee of Common Stock,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 Notwithstanding the foregoing, the rights contained in </w:t>
      </w:r>
      <w:r>
        <w:rPr>
          <w:rFonts w:ascii="Times New Roman" w:hAnsi="Times New Roman"/>
          <w:color w:val="000000"/>
          <w:sz w:val="24"/>
          <w:u w:val="single"/>
        </w:rPr>
        <w:t>Section 4.</w:t>
      </w:r>
      <w:r>
        <w:rPr>
          <w:rFonts w:ascii="Times New Roman" w:hAnsi="Times New Roman"/>
          <w:color w:val="000000"/>
          <w:sz w:val="24"/>
        </w:rPr>
        <w:t>4 hereof will only transfer to a Permitted Transferee if (x) the Designating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Stockholders Transfer, in one Transfer or a series of Transfers, a number of shares of Common Stock greater than 75% of the shares of Common Stock owned by the Designating Stockholders as of June 30, 2025, to a single institutional investor Permitted Transferee and (y) such institutional investor Permitted Transferee executes and delivers to the Company a joinder to this Agreement as otherwise required by this </w:t>
      </w:r>
      <w:r>
        <w:rPr>
          <w:rFonts w:ascii="Times New Roman" w:hAnsi="Times New Roman"/>
          <w:color w:val="000000"/>
          <w:sz w:val="24"/>
          <w:u w:val="single"/>
        </w:rPr>
        <w:t>Section 6.5</w:t>
      </w:r>
      <w:r>
        <w:rPr>
          <w:rFonts w:ascii="Times New Roman" w:hAnsi="Times New Roman"/>
          <w:color w:val="000000"/>
          <w:sz w:val="24"/>
        </w:rPr>
        <w:t xml:space="preserve">. Any institutional investor Permitted Transferee pursuant to the immediately preceding sentence shall not be permitted to further transfer the rights contained in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hereof. For the avoidance of doubt, such institutional investor Permitted Transferee’s ownership for purposes of the calculations contemplated by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hereof will be based solely on such Permitted Transferee’s ownership of the shares of Common Stock Transferred pursuant to this </w:t>
      </w:r>
      <w:r>
        <w:rPr>
          <w:rFonts w:ascii="Times New Roman" w:hAnsi="Times New Roman"/>
          <w:color w:val="000000"/>
          <w:sz w:val="24"/>
          <w:u w:val="single"/>
        </w:rPr>
        <w:t>Section 6.5</w:t>
      </w:r>
      <w:r>
        <w:rPr>
          <w:rFonts w:ascii="Times New Roman" w:hAnsi="Times New Roman"/>
          <w:color w:val="000000"/>
          <w:sz w:val="24"/>
        </w:rPr>
        <w:t>, and the Designating Stockholders that Transferred such shares of Common Stock shall not retain any of such rights with respect to such shares of Common Stock so Transferred. This Agreement will inure to the benefit of and be binding on the parties hereto and their respective successors and permitted assigns.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6.6 </w:t>
      </w:r>
      <w:r>
        <w:rPr>
          <w:rFonts w:ascii="Times New Roman" w:hAnsi="Times New Roman"/>
          <w:color w:val="000000"/>
          <w:sz w:val="24"/>
          <w:u w:val="single"/>
        </w:rPr>
        <w:t>Third Parties</w:t>
      </w:r>
      <w:r>
        <w:rPr>
          <w:rFonts w:ascii="Times New Roman" w:hAnsi="Times New Roman"/>
          <w:color w:val="000000"/>
          <w:sz w:val="24"/>
        </w:rPr>
        <w:t xml:space="preserve">. Except as provided for in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with respect to any Designating Stockholder,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with respect to any Indemnitee or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with respect to a Non-Recourse Party, this Agreement does not create any rights, claims or benefits inuring to any person that is not a party hereto nor create or establish any third party beneficiary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6.7 </w:t>
      </w:r>
      <w:r>
        <w:rPr>
          <w:rFonts w:ascii="Times New Roman" w:hAnsi="Times New Roman"/>
          <w:color w:val="000000"/>
          <w:sz w:val="24"/>
          <w:u w:val="single"/>
        </w:rPr>
        <w:t>Governing Law</w:t>
      </w:r>
      <w:r>
        <w:rPr>
          <w:rFonts w:ascii="Times New Roman" w:hAnsi="Times New Roman"/>
          <w:color w:val="000000"/>
          <w:sz w:val="24"/>
        </w:rPr>
        <w:t>. THIS AGREEMENT AND ITS ENFORCEMENT AND ANY CONTROVERSY ARISING OUT OF OR RELATING TO THE MAKING OR PERFORMANCE OF THIS AGREEMENT SHALL BE GOVERNED BY AND CONSTRUED IN ACCORDANCE WITH THE LAWS OF THE STATE OF DELAWARE.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6.8 </w:t>
      </w:r>
      <w:r>
        <w:rPr>
          <w:rFonts w:ascii="Times New Roman" w:hAnsi="Times New Roman"/>
          <w:color w:val="000000"/>
          <w:sz w:val="24"/>
          <w:u w:val="single"/>
        </w:rPr>
        <w:t>Jurisdiction; Waiver of Jury Trial</w:t>
      </w:r>
      <w:r>
        <w:rPr>
          <w:rFonts w:ascii="Times New Roman" w:hAnsi="Times New Roman"/>
          <w:color w:val="000000"/>
          <w:sz w:val="24"/>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hAnsi="Times New Roman"/>
          <w:color w:val="000000"/>
          <w:sz w:val="24"/>
          <w:u w:val="single"/>
        </w:rPr>
        <w:t>Section 6.8</w:t>
      </w:r>
      <w:r>
        <w:rPr>
          <w:rFonts w:ascii="Times New Roman" w:hAnsi="Times New Roman"/>
          <w:color w:val="000000"/>
          <w:sz w:val="24"/>
        </w:rPr>
        <w:t xml:space="preserve">,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w:t>
      </w:r>
      <w:r>
        <w:rPr>
          <w:rFonts w:ascii="Times New Roman" w:hAnsi="Times New Roman"/>
          <w:caps/>
          <w:color w:val="000000"/>
          <w:sz w:val="24"/>
        </w:rPr>
        <w:t>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6.9 </w:t>
      </w:r>
      <w:r>
        <w:rPr>
          <w:rFonts w:ascii="Times New Roman" w:hAnsi="Times New Roman"/>
          <w:color w:val="000000"/>
          <w:sz w:val="24"/>
          <w:u w:val="single"/>
        </w:rPr>
        <w:t>Specific Performance</w:t>
      </w:r>
      <w:r>
        <w:rPr>
          <w:rFonts w:ascii="Times New Roman" w:hAnsi="Times New Roman"/>
          <w:color w:val="000000"/>
          <w:sz w:val="24"/>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6.10 </w:t>
      </w:r>
      <w:r>
        <w:rPr>
          <w:rFonts w:ascii="Times New Roman" w:hAnsi="Times New Roman"/>
          <w:color w:val="000000"/>
          <w:sz w:val="24"/>
          <w:u w:val="single"/>
        </w:rPr>
        <w:t>Entire Agreement</w:t>
      </w:r>
      <w:r>
        <w:rPr>
          <w:rFonts w:ascii="Times New Roman" w:hAnsi="Times New Roman"/>
          <w:color w:val="000000"/>
          <w:sz w:val="24"/>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6.11 </w:t>
      </w:r>
      <w:r>
        <w:rPr>
          <w:rFonts w:ascii="Times New Roman" w:hAnsi="Times New Roman"/>
          <w:color w:val="000000"/>
          <w:sz w:val="24"/>
          <w:u w:val="single"/>
        </w:rPr>
        <w:t>Severability</w:t>
      </w:r>
      <w:r>
        <w:rPr>
          <w:rFonts w:ascii="Times New Roman" w:hAnsi="Times New Roman"/>
          <w:color w:val="000000"/>
          <w:sz w:val="24"/>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6.12 </w:t>
      </w:r>
      <w:r>
        <w:rPr>
          <w:rFonts w:ascii="Times New Roman" w:hAnsi="Times New Roman"/>
          <w:color w:val="000000"/>
          <w:sz w:val="24"/>
          <w:u w:val="single"/>
        </w:rPr>
        <w:t>Table of Contents, Headings and Captions</w:t>
      </w:r>
      <w:r>
        <w:rPr>
          <w:rFonts w:ascii="Times New Roman" w:hAnsi="Times New Roman"/>
          <w:color w:val="000000"/>
          <w:sz w:val="24"/>
        </w:rPr>
        <w:t>. The table of contents, headings, subheadings and captions contained in this Agreement are included for convenience of reference only, and in no way define, limit or describe the scope of this Agreement or the intent of any provision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6.13 </w:t>
      </w:r>
      <w:r>
        <w:rPr>
          <w:rFonts w:ascii="Times New Roman" w:hAnsi="Times New Roman"/>
          <w:color w:val="000000"/>
          <w:sz w:val="24"/>
          <w:u w:val="single"/>
        </w:rPr>
        <w:t>Grant of Consent</w:t>
      </w:r>
      <w:r>
        <w:rPr>
          <w:rFonts w:ascii="Times New Roman" w:hAnsi="Times New Roman"/>
          <w:color w:val="000000"/>
          <w:sz w:val="24"/>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hereof by the Designating Stockholder Representative as of the latest date any such notice is so provided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6.14 </w:t>
      </w:r>
      <w:r>
        <w:rPr>
          <w:rFonts w:ascii="Times New Roman" w:hAnsi="Times New Roman"/>
          <w:color w:val="000000"/>
          <w:sz w:val="24"/>
          <w:u w:val="single"/>
        </w:rPr>
        <w:t>Counterparts</w:t>
      </w:r>
      <w:r>
        <w:rPr>
          <w:rFonts w:ascii="Times New Roman" w:hAnsi="Times New Roman"/>
          <w:color w:val="000000"/>
          <w:sz w:val="24"/>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6.15 </w:t>
      </w:r>
      <w:r>
        <w:rPr>
          <w:rFonts w:ascii="Times New Roman" w:hAnsi="Times New Roman"/>
          <w:color w:val="000000"/>
          <w:sz w:val="24"/>
          <w:u w:val="single"/>
        </w:rPr>
        <w:t>Effectiveness</w:t>
      </w:r>
      <w:r>
        <w:rPr>
          <w:rFonts w:ascii="Times New Roman" w:hAnsi="Times New Roman"/>
          <w:color w:val="000000"/>
          <w:sz w:val="24"/>
        </w:rPr>
        <w:t>. This Agreement shall become effective on the date hereof, among the Company and the other parties thereto.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6.16 </w:t>
      </w:r>
      <w:r>
        <w:rPr>
          <w:rFonts w:ascii="Times New Roman" w:hAnsi="Times New Roman"/>
          <w:color w:val="000000"/>
          <w:sz w:val="24"/>
          <w:u w:val="single"/>
        </w:rPr>
        <w:t>No Recourse</w:t>
      </w:r>
      <w:r>
        <w:rPr>
          <w:rFonts w:ascii="Times New Roman" w:hAnsi="Times New Roman"/>
          <w:color w:val="000000"/>
          <w:sz w:val="24"/>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hAnsi="Times New Roman"/>
          <w:color w:val="000000"/>
          <w:sz w:val="24"/>
          <w:u w:val="single"/>
        </w:rPr>
        <w:t>Non-Recourse Party</w:t>
      </w:r>
      <w:r>
        <w:rPr>
          <w:rFonts w:ascii="Times New Roman" w:hAnsi="Times New Roman"/>
          <w:color w:val="000000"/>
          <w:sz w:val="20"/>
        </w:rPr>
        <w:t>”</w:t>
      </w:r>
      <w:r>
        <w:rPr>
          <w:rFonts w:ascii="Times New Roman" w:hAnsi="Times New Roman"/>
          <w:color w:val="000000"/>
          <w:sz w:val="24"/>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Non-Recourse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hAnsi="Times New Roman"/>
          <w:color w:val="000000"/>
          <w:sz w:val="24"/>
          <w:u w:val="single"/>
        </w:rPr>
        <w:t>Section 6.16</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shall limit any Person’s liability to the extent such Person has committed fraud.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6" w:name="iron-ex3_2.htm"/>
      <w:bookmarkStart w:id="7" w:name="ksironex3_2"/>
      <w:bookmarkEnd w:id="6"/>
      <w:bookmarkEnd w:id="7"/>
      <w:r>
        <w:rPr>
          <w:rFonts w:ascii="Times New Roman" w:hAnsi="Times New Roman"/>
          <w:b/>
          <w:color w:val="000000"/>
          <w:sz w:val="24"/>
        </w:rPr>
        <w:t>Exhibit 3.2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BYLAWS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LIFTOFF MOBILE,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Offices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1.01 </w:t>
      </w:r>
      <w:r>
        <w:rPr>
          <w:rFonts w:ascii="Times New Roman" w:hAnsi="Times New Roman"/>
          <w:color w:val="000000"/>
          <w:sz w:val="24"/>
          <w:u w:val="single"/>
        </w:rPr>
        <w:t>Registered Office</w:t>
      </w:r>
      <w:r>
        <w:rPr>
          <w:rFonts w:ascii="Times New Roman" w:hAnsi="Times New Roman"/>
          <w:color w:val="000000"/>
          <w:sz w:val="24"/>
        </w:rPr>
        <w:t>. The registered office and registered agent of Liftoff Mobile, Inc.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in the State of Delaware shall be as set forth in the Restated Certificate of Incorporation (as defined below). The Corporation may also have offices in such other places in the United States or elsewhere as the Board of Directors of the Corporation (the “</w:t>
      </w:r>
      <w:r>
        <w:rPr>
          <w:rFonts w:ascii="Times New Roman" w:hAnsi="Times New Roman"/>
          <w:color w:val="000000"/>
          <w:sz w:val="24"/>
          <w:u w:val="single"/>
        </w:rPr>
        <w:t>Board of Directors</w:t>
      </w:r>
      <w:r>
        <w:rPr>
          <w:rFonts w:ascii="Times New Roman" w:hAnsi="Times New Roman"/>
          <w:color w:val="000000"/>
          <w:sz w:val="20"/>
        </w:rPr>
        <w:t>”</w:t>
      </w:r>
      <w:r>
        <w:rPr>
          <w:rFonts w:ascii="Times New Roman" w:hAnsi="Times New Roman"/>
          <w:color w:val="000000"/>
          <w:sz w:val="24"/>
        </w:rPr>
        <w:t>) may, from time to time, determine or as the business of the Corporation may require as determined by any officer of the 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Meetings of Stockholders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2.01 </w:t>
      </w:r>
      <w:r>
        <w:rPr>
          <w:rFonts w:ascii="Times New Roman" w:hAnsi="Times New Roman"/>
          <w:color w:val="000000"/>
          <w:sz w:val="24"/>
          <w:u w:val="single"/>
        </w:rPr>
        <w:t>Annual Meetings</w:t>
      </w:r>
      <w:r>
        <w:rPr>
          <w:rFonts w:ascii="Times New Roman" w:hAnsi="Times New Roman"/>
          <w:color w:val="000000"/>
          <w:sz w:val="24"/>
        </w:rPr>
        <w:t xml:space="preserve">.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the stockholders shall not be held at any place, but may instead be held solely by means of remote communication as described in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of these Amended and Restated Bylaws (as the same may be amended and/or restated from time to time, the “</w:t>
      </w:r>
      <w:r>
        <w:rPr>
          <w:rFonts w:ascii="Times New Roman" w:hAnsi="Times New Roman"/>
          <w:color w:val="000000"/>
          <w:sz w:val="24"/>
          <w:u w:val="single"/>
        </w:rPr>
        <w:t>Bylaws</w:t>
      </w:r>
      <w:r>
        <w:rPr>
          <w:rFonts w:ascii="Times New Roman" w:hAnsi="Times New Roman"/>
          <w:color w:val="000000"/>
          <w:sz w:val="20"/>
        </w:rPr>
        <w:t>”</w:t>
      </w:r>
      <w:r>
        <w:rPr>
          <w:rFonts w:ascii="Times New Roman" w:hAnsi="Times New Roman"/>
          <w:color w:val="000000"/>
          <w:sz w:val="24"/>
        </w:rPr>
        <w:t>) in accordance with Section 211(a)(2) of the General Corporation Law of the State of Delaware (the “</w:t>
      </w:r>
      <w:r>
        <w:rPr>
          <w:rFonts w:ascii="Times New Roman" w:hAnsi="Times New Roman"/>
          <w:color w:val="000000"/>
          <w:sz w:val="24"/>
          <w:u w:val="single"/>
        </w:rPr>
        <w:t>DGCL</w:t>
      </w:r>
      <w:r>
        <w:rPr>
          <w:rFonts w:ascii="Times New Roman" w:hAnsi="Times New Roman"/>
          <w:color w:val="000000"/>
          <w:sz w:val="20"/>
        </w:rPr>
        <w:t>”</w:t>
      </w:r>
      <w:r>
        <w:rPr>
          <w:rFonts w:ascii="Times New Roman" w:hAnsi="Times New Roman"/>
          <w:color w:val="000000"/>
          <w:sz w:val="24"/>
        </w:rPr>
        <w:t>). The Board of Directors may postpone, reschedule or cancel any annual meeting of stockholders previously scheduled by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2.02 </w:t>
      </w:r>
      <w:r>
        <w:rPr>
          <w:rFonts w:ascii="Times New Roman" w:hAnsi="Times New Roman"/>
          <w:color w:val="000000"/>
          <w:sz w:val="24"/>
          <w:u w:val="single"/>
        </w:rPr>
        <w:t>Special Meetings</w:t>
      </w:r>
      <w:r>
        <w:rPr>
          <w:rFonts w:ascii="Times New Roman" w:hAnsi="Times New Roman"/>
          <w:color w:val="000000"/>
          <w:sz w:val="24"/>
        </w:rPr>
        <w:t>. Special meetings of the stockholders may only be called in the manner provided in the Corporation’s certificate of incorporation as then in effect (as the same may be amended and/or restated from time to time, the “</w:t>
      </w:r>
      <w:r>
        <w:rPr>
          <w:rFonts w:ascii="Times New Roman" w:hAnsi="Times New Roman"/>
          <w:color w:val="000000"/>
          <w:sz w:val="24"/>
          <w:u w:val="single"/>
        </w:rPr>
        <w:t>Restated Certificate of Incorporation</w:t>
      </w:r>
      <w:r>
        <w:rPr>
          <w:rFonts w:ascii="Times New Roman" w:hAnsi="Times New Roman"/>
          <w:color w:val="000000"/>
          <w:sz w:val="20"/>
        </w:rPr>
        <w:t>”</w:t>
      </w:r>
      <w:r>
        <w:rPr>
          <w:rFonts w:ascii="Times New Roman" w:hAnsi="Times New Roman"/>
          <w:color w:val="000000"/>
          <w:sz w:val="24"/>
        </w:rPr>
        <w:t>) and may be held at such place, if any, either within or without the State of Delaware, and at such time and date as the Board of Directors, the Chair of the Board of Directors (the “</w:t>
      </w:r>
      <w:r>
        <w:rPr>
          <w:rFonts w:ascii="Times New Roman" w:hAnsi="Times New Roman"/>
          <w:color w:val="000000"/>
          <w:sz w:val="24"/>
          <w:u w:val="single"/>
        </w:rPr>
        <w:t>Chair</w:t>
      </w:r>
      <w:r>
        <w:rPr>
          <w:rFonts w:ascii="Times New Roman" w:hAnsi="Times New Roman"/>
          <w:color w:val="000000"/>
          <w:sz w:val="20"/>
        </w:rPr>
        <w:t>”</w:t>
      </w:r>
      <w:r>
        <w:rPr>
          <w:rFonts w:ascii="Times New Roman" w:hAnsi="Times New Roman"/>
          <w:color w:val="000000"/>
          <w:sz w:val="24"/>
        </w:rPr>
        <w:t>) or the Chief Executive Officer of the Corporation (the “</w:t>
      </w:r>
      <w:r>
        <w:rPr>
          <w:rFonts w:ascii="Times New Roman" w:hAnsi="Times New Roman"/>
          <w:color w:val="000000"/>
          <w:sz w:val="24"/>
          <w:u w:val="single"/>
        </w:rPr>
        <w:t>Chief Executive Officer</w:t>
      </w:r>
      <w:r>
        <w:rPr>
          <w:rFonts w:ascii="Times New Roman" w:hAnsi="Times New Roman"/>
          <w:color w:val="000000"/>
          <w:sz w:val="20"/>
        </w:rPr>
        <w:t>”</w:t>
      </w:r>
      <w:r>
        <w:rPr>
          <w:rFonts w:ascii="Times New Roman" w:hAnsi="Times New Roman"/>
          <w:color w:val="000000"/>
          <w:sz w:val="24"/>
        </w:rPr>
        <w:t xml:space="preserve">) shall determine and state in the notice of such meeting. The Board of Directors may, in its sole discretion, determine that special meetings of the stockholders shall not be held at any place, but may instead be held solely by means of remote communication as described in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 xml:space="preserve">of these Bylaws in accordance with Section 211(a)(2) of the DGCL. The Board of Directors may postpone, reschedule or cancel any special meeting of the stockholders previously scheduled by the Board of Directors, the Chair or the Chief Executive Officer; </w:t>
      </w:r>
      <w:r>
        <w:rPr>
          <w:rFonts w:ascii="Times New Roman" w:hAnsi="Times New Roman"/>
          <w:i/>
          <w:color w:val="000000"/>
          <w:sz w:val="24"/>
        </w:rPr>
        <w:t>provided, however</w:t>
      </w:r>
      <w:r>
        <w:rPr>
          <w:rFonts w:ascii="Times New Roman" w:hAnsi="Times New Roman"/>
          <w:color w:val="000000"/>
          <w:sz w:val="24"/>
        </w:rPr>
        <w:t>, that notwithstanding anything to the contrary herein, with respect to any special meeting of stockholders previously scheduled by the Board of Directors or the Chair at the request of a Designating Stockholder (as defined in the Restated Certificate of Incorporation), the Board of Directors shall not postpone, reschedule or cancel such special meeting without the approval of all directors then in office unless such Designating Stockholder has consented to such postponement, rescheduling or cancellation.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2.03 </w:t>
      </w:r>
      <w:r>
        <w:rPr>
          <w:rFonts w:ascii="Times New Roman" w:hAnsi="Times New Roman"/>
          <w:color w:val="000000"/>
          <w:sz w:val="24"/>
          <w:u w:val="single"/>
        </w:rPr>
        <w:t>Notice of Stockholder Business and Nominations</w:t>
      </w:r>
      <w:r>
        <w:rPr>
          <w:rFonts w:ascii="Times New Roman" w:hAnsi="Times New Roman"/>
          <w:color w:val="000000"/>
          <w:sz w:val="24"/>
        </w:rPr>
        <w:t>.</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(A)</w:t>
      </w:r>
    </w:p>
    <w:p>
      <w:pPr>
        <w:pStyle w:val="TextBody"/>
        <w:bidi w:val="0"/>
        <w:spacing w:before="240" w:after="283"/>
        <w:jc w:val="left"/>
        <w:rPr/>
      </w:pPr>
      <w:r>
        <w:rPr>
          <w:rFonts w:ascii="Times New Roman" w:hAnsi="Times New Roman"/>
          <w:color w:val="000000"/>
          <w:sz w:val="24"/>
          <w:u w:val="single"/>
        </w:rPr>
        <w:t>Annual Meetings of Stockholders</w:t>
      </w:r>
      <w:r>
        <w:rPr>
          <w:rFonts w:ascii="Times New Roman" w:hAnsi="Times New Roman"/>
          <w:color w:val="000000"/>
          <w:sz w:val="24"/>
        </w:rPr>
        <w:t>.</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(1)</w:t>
      </w:r>
    </w:p>
    <w:p>
      <w:pPr>
        <w:pStyle w:val="TextBody"/>
        <w:bidi w:val="0"/>
        <w:spacing w:before="240" w:after="283"/>
        <w:jc w:val="left"/>
        <w:rPr/>
      </w:pPr>
      <w:r>
        <w:rPr>
          <w:rFonts w:ascii="Times New Roman" w:hAnsi="Times New Roman"/>
          <w:color w:val="000000"/>
          <w:sz w:val="24"/>
        </w:rPr>
        <w:t xml:space="preserve">Nominations of persons for election to the Board of Directors and the proposal of other business to be considered by the stockholders may be made at an annual meeting of stockholders only (a) as provided in the Stockholders Agreements (as defined in the Restated Certificate of Incorporation) (with respect to nominations of persons for election to the Board of Directors only), (b) pursuant to the Corporation’s notice of meeting (or any supplement thereto) delivered pursuant to </w:t>
      </w:r>
      <w:r>
        <w:rPr>
          <w:rFonts w:ascii="Times New Roman" w:hAnsi="Times New Roman"/>
          <w:color w:val="000000"/>
          <w:sz w:val="24"/>
          <w:u w:val="single"/>
        </w:rPr>
        <w:t>Section 2.04</w:t>
      </w:r>
      <w:r>
        <w:rPr>
          <w:color w:val="000000"/>
        </w:rPr>
        <w:t xml:space="preserve"> </w:t>
      </w:r>
      <w:r>
        <w:rPr>
          <w:rFonts w:ascii="Times New Roman" w:hAnsi="Times New Roman"/>
          <w:color w:val="000000"/>
          <w:sz w:val="24"/>
        </w:rPr>
        <w:t xml:space="preserve">of Article II of these Bylaws, (c) by or at the direction of the Board of Directors or any authorized committee thereof or (d) by any stockholder of the Corporation who is entitled to vote at the meeting, who, subject to paragraph (C)(4) of this </w:t>
      </w:r>
      <w:r>
        <w:rPr>
          <w:rFonts w:ascii="Times New Roman" w:hAnsi="Times New Roman"/>
          <w:color w:val="000000"/>
          <w:sz w:val="24"/>
          <w:u w:val="single"/>
        </w:rPr>
        <w:t>Section 2.03</w:t>
      </w:r>
      <w:r>
        <w:rPr>
          <w:rFonts w:ascii="Times New Roman" w:hAnsi="Times New Roman"/>
          <w:color w:val="000000"/>
          <w:sz w:val="24"/>
        </w:rPr>
        <w:t xml:space="preserve">, complied with the notice procedures set forth in paragraphs (A)(2) and (A)(3)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and who was a stockholder of record at the time such notice is delivered to the Secretary of the Corporation.</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(2)</w:t>
      </w:r>
    </w:p>
    <w:p>
      <w:pPr>
        <w:pStyle w:val="TextBody"/>
        <w:bidi w:val="0"/>
        <w:spacing w:before="240" w:after="283"/>
        <w:jc w:val="left"/>
        <w:rPr/>
      </w:pPr>
      <w:r>
        <w:rPr>
          <w:rFonts w:ascii="Times New Roman" w:hAnsi="Times New Roman"/>
          <w:color w:val="000000"/>
          <w:sz w:val="24"/>
        </w:rPr>
        <w:t xml:space="preserve">For nominations or other business to be properly brought before an annual meeting by a stockholder pursuant to clause (d) of paragraph (A)(1) of this </w:t>
      </w:r>
      <w:r>
        <w:rPr>
          <w:rFonts w:ascii="Times New Roman" w:hAnsi="Times New Roman"/>
          <w:color w:val="000000"/>
          <w:sz w:val="24"/>
          <w:u w:val="single"/>
        </w:rPr>
        <w:t>Section 2.03</w:t>
      </w:r>
      <w:r>
        <w:rPr>
          <w:rFonts w:ascii="Times New Roman" w:hAnsi="Times New Roman"/>
          <w:color w:val="000000"/>
          <w:sz w:val="24"/>
        </w:rPr>
        <w:t xml:space="preserve">,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later than the close of business (as defined in Section </w:t>
      </w:r>
      <w:r>
        <w:rPr>
          <w:rFonts w:ascii="Times New Roman" w:hAnsi="Times New Roman"/>
          <w:color w:val="000000"/>
          <w:sz w:val="24"/>
          <w:u w:val="single"/>
        </w:rPr>
        <w:t>2.03(C)(2)</w:t>
      </w:r>
      <w:r>
        <w:rPr>
          <w:color w:val="000000"/>
        </w:rPr>
        <w:t xml:space="preserve"> </w:t>
      </w:r>
      <w:r>
        <w:rPr>
          <w:rFonts w:ascii="Times New Roman" w:hAnsi="Times New Roman"/>
          <w:color w:val="000000"/>
          <w:sz w:val="24"/>
        </w:rPr>
        <w:t xml:space="preserve">below) on the 90th day nor earlier than the 120th day prior to the first anniversary of the date of the preceding year’s annual meeting (which date shall, for purposes of the Corporation’s first annual meeting of stockholders after its shares of Common Stock (as defined in the Restated Certificate of Incorporation) are first publicly traded, be deemed to have occurred on June 1 of the preceding calendar year); </w:t>
      </w:r>
      <w:r>
        <w:rPr>
          <w:rFonts w:ascii="Times New Roman" w:hAnsi="Times New Roman"/>
          <w:i/>
          <w:color w:val="000000"/>
          <w:sz w:val="24"/>
        </w:rPr>
        <w:t>provided, however</w:t>
      </w:r>
      <w:r>
        <w:rPr>
          <w:rFonts w:ascii="Times New Roman" w:hAnsi="Times New Roman"/>
          <w:color w:val="000000"/>
          <w:sz w:val="24"/>
        </w:rPr>
        <w:t xml:space="preserve">, that in the event that the date of the annual meeting is advanced by more than thirty (30) days, or delayed by more than seventy (70) days, from the anniversary date of the previous year’s meeting, or if no annual meeting required to be held was held in the preceding year, notice by the stockholder to be timely must be so delivered not earlier than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The number of nominees a stockholder may nominate for election at the annual meeting on such stockholder’s own behalf (or in the case of a stockholder giving the notice of on behalf of a beneficial owner, the number of nominees a stockholder may nominate for election at the annual meeting on behalf of such beneficial owner) shall not exceed the number of directors to be elected at such annual meeting. Public announcement of an adjournment or postponement of an annual meeting shall not commence a new time period (or extend any time period) for the giving of a stockholder’s notice. Notwithstanding anything in this </w:t>
      </w:r>
      <w:r>
        <w:rPr>
          <w:rFonts w:ascii="Times New Roman" w:hAnsi="Times New Roman"/>
          <w:color w:val="000000"/>
          <w:sz w:val="24"/>
          <w:u w:val="single"/>
        </w:rPr>
        <w:t>Section 2.03(A)(2)</w:t>
      </w:r>
      <w:r>
        <w:rPr>
          <w:color w:val="000000"/>
        </w:rPr>
        <w:t xml:space="preserve"> </w:t>
      </w:r>
      <w:r>
        <w:rPr>
          <w:rFonts w:ascii="Times New Roman" w:hAnsi="Times New Roman"/>
          <w:color w:val="000000"/>
          <w:sz w:val="24"/>
        </w:rPr>
        <w:t>to the contrary, if the number of directors to be elected to the Board of Directors at an annual meeting is increased after the time period for which nominations would otherwise be due under this Section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(3)</w:t>
      </w:r>
    </w:p>
    <w:p>
      <w:pPr>
        <w:pStyle w:val="TextBody"/>
        <w:bidi w:val="0"/>
        <w:spacing w:before="240" w:after="283"/>
        <w:jc w:val="left"/>
        <w:rPr/>
      </w:pPr>
      <w:r>
        <w:rPr>
          <w:rFonts w:ascii="Times New Roman" w:hAnsi="Times New Roman"/>
          <w:color w:val="000000"/>
          <w:sz w:val="24"/>
        </w:rPr>
        <w:t xml:space="preserve">A stockholder’s notice delivered pursuant to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shall set forth: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as to each person whom the stockholder proposes to nominate for election or re-election as a director: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pPr>
      <w:r>
        <w:rPr>
          <w:rFonts w:ascii="Times New Roman" w:hAnsi="Times New Roman"/>
          <w:color w:val="000000"/>
          <w:sz w:val="24"/>
        </w:rPr>
        <w:t>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Times New Roman" w:hAnsi="Times New Roman"/>
          <w:color w:val="000000"/>
          <w:sz w:val="24"/>
          <w:u w:val="single"/>
        </w:rPr>
        <w:t>Exchange Act</w:t>
      </w:r>
      <w:r>
        <w:rPr>
          <w:color w:val="000000"/>
        </w:rPr>
        <w:t>”</w:t>
      </w:r>
      <w:r>
        <w:rPr>
          <w:rFonts w:ascii="Times New Roman" w:hAnsi="Times New Roman"/>
          <w:color w:val="000000"/>
          <w:sz w:val="24"/>
        </w:rPr>
        <w:t xml:space="preserve">), and the rules and regulations promulgated thereunder,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such person’s written consent to being named in the proxy statement and accompanying proxy card and to serving as a director if elected,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questionnaire completed and signed by such person (in the form to be provided by the Secretary upon written request of any stockholder of record within ten (10) days of such request) with respect to the background and qualification of such proposed nominee, and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written representation and agreement (in the form to be provided by the Secretary upon written request of any stockholder of record within ten (10) days of such request) that such proposed nominee (A) is not and will not become a party to any agreement, arrangement or understanding with, and has not given any commitment or assurance to, any person or entity as to how such proposed nominee, if elected as a director of the Corporation, will act or vote on any issue or question that has not been disclosed to the Corporation or that could limit or interfere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and (C) would be in compliance, if elected as a director of the Corporation, and will comply with, all applicable publicly disclosed corporate governance, code of conduct and ethics, conflict of interest, confidentiality, corporate opportunities, trading and any other policies and guidelines of the Corporation applicable to directors;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 to the stockholder giving the notice and the beneficial owner, if any, on whose behalf the nomination or proposal is made: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name and address of such stockholder, as they appear on the Corporation’s books and records, and of such beneficial owner,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class or series and number of shares of capital stock of the Corporation that are owned, directly or indirectly, beneficially and of record by such stockholder and such beneficial owner, including any shares of any class or series of capital stock of the Corporation as to which such stockholder and such beneficial owner or any of its affiliates or associates has a right to acquire beneficial ownership at any time in the future,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representation that the stockholder is a holder of record of the stock of the Corporation at the time of the giving of the notice, will be entitled to vote at such meeting and will appear in person (which, for the avoidance of doubt, includes appearance by means of remote communication at any virtual meeting) or by proxy at the meeting to propose such business or nomination,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representation whether the stockholder or the beneficial owner, if any, will be or is part of a group that will (x) deliver, in the case of a proposal of business other than nominations, through means satisfying each of the conditions that would be applicable to the Corporation under either Exchange Act Rule 14a-16(a) or Exchange Act Rule 14a-16(n), a proxy statement and/or form of proxy to holders (including any beneficial owners pursuant to Rule 14b-1 and Rule 14b-2 of the Exchange Act) of at least the percentage of the voting power of the Corporation’s outstanding capital stock required to approve or adopt the proposal or in the case of any non-exempt solicitation made with respect to any director nomination,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and/or (y) otherwise solicit proxies or votes from stockholders in support of such proposal or nomination,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(y) the stockholder’s and/or the beneficial owner’s acts or omissions as a stockholder of the Corporation, and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rPr>
        <w:t xml:space="preserve">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(each as defined in </w:t>
      </w:r>
      <w:r>
        <w:rPr>
          <w:rFonts w:ascii="Times New Roman" w:hAnsi="Times New Roman"/>
          <w:color w:val="000000"/>
          <w:sz w:val="24"/>
          <w:u w:val="single"/>
        </w:rPr>
        <w:t>Section 2.03(C)(2)</w:t>
      </w:r>
      <w:r>
        <w:rPr>
          <w:color w:val="000000"/>
        </w:rPr>
        <w:t xml:space="preserve"> </w:t>
      </w:r>
      <w:r>
        <w:rPr>
          <w:rFonts w:ascii="Times New Roman" w:hAnsi="Times New Roman"/>
          <w:color w:val="000000"/>
          <w:sz w:val="24"/>
        </w:rPr>
        <w:t>below) and/or any other person (collectively, “</w:t>
      </w:r>
      <w:r>
        <w:rPr>
          <w:rFonts w:ascii="Times New Roman" w:hAnsi="Times New Roman"/>
          <w:color w:val="000000"/>
          <w:sz w:val="24"/>
          <w:u w:val="single"/>
        </w:rPr>
        <w:t>proponent persons</w:t>
      </w:r>
      <w:r>
        <w:rPr>
          <w:color w:val="000000"/>
        </w:rPr>
        <w:t>”</w:t>
      </w:r>
      <w:r>
        <w:rPr>
          <w:rFonts w:ascii="Times New Roman" w:hAnsi="Times New Roman"/>
          <w:color w:val="000000"/>
          <w:sz w:val="24"/>
        </w:rPr>
        <w:t xml:space="preserve">), including, in the case of a nomination, the nominee, including any agreements, arrangements or understandings relating to any compensation or payments to be paid to any such proposed nominee(s), pertaining to the nomination(s) or other business proposed to be brought before the meeting of stockholders (which description shall identify the name of each other person who is party to such an agreement, arrangement or understanding);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description of any proxy (other than a revocable proxy given in response to a public proxy solicitation made pursuant to, and in accordance with, the Exchange Act), agreement, arrangement, or understanding pursuant to which such stockholder or beneficial owner has or shares a right, directly or indirectly, to vote any shares of any class or series of capital stock of the Corporation;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description of any agreement, arrangement or understanding with respect to any rights to dividends or other distributions on the shares of any class or series of capital stock of the Corporation, directly or indirectly, owned beneficially by such stockholder or beneficial owner that are separated or separable pursuant to such agreement, arraignment or understanding from the underlying shares of the Corporation; and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rFonts w:ascii="Times New Roman" w:hAnsi="Times New Roman"/>
          <w:color w:val="000000"/>
          <w:sz w:val="24"/>
        </w:rPr>
        <w:t xml:space="preserve">the names and addresses of other stockholders and beneficial owners actually known (without any obligation of inquiry) by any stockholder giving the notice (and/or beneficial owner, if any, on whose behalf the nomination or proposal is made) to support financially such nomination or proposal, and to the extent known, the class and number of all shares of the Corporation’s capital stock owned beneficially and/or of record by such other stockholder(s) and beneficial owner(s). A stockholder providing notice of a proposed nomination for election to the Board of Directors or other business proposed to be brought before a meeting (whether given pursuant to this paragraph (A)(3) or paragraph (B)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For the avoidance of doubt, the obligation to update and supplement as set forth in this ‎</w:t>
      </w:r>
      <w:r>
        <w:rPr>
          <w:rFonts w:ascii="Times New Roman" w:hAnsi="Times New Roman"/>
          <w:color w:val="000000"/>
          <w:sz w:val="24"/>
          <w:u w:val="single"/>
        </w:rPr>
        <w:t>Section 2.03(A)(3)</w:t>
      </w:r>
      <w:r>
        <w:rPr>
          <w:color w:val="000000"/>
        </w:rPr>
        <w:t xml:space="preserve"> </w:t>
      </w:r>
      <w:r>
        <w:rPr>
          <w:rFonts w:ascii="Times New Roman" w:hAnsi="Times New Roman"/>
          <w:color w:val="000000"/>
          <w:sz w:val="24"/>
        </w:rPr>
        <w:t xml:space="preserve">or any other section of these Bylaws shall not limit the Corporation’s rights with respect to any deficiencies in any stockholder’s notice, including, without limitation, any representation required herein, extend any applicable deadlines under these Bylaws or enable or be deemed to permit a stockholder who has previously submitted a stockholder’s notice under these Bylaws to amend or update any proposal or to submit any new proposal, including by changing or adding nominees, matters, business and/or resolutions proposed to be brought before a meeting of stockholders. Any such update and supplement shall be delivered in writing to the Secretary of the Corporation at the principal executive offices of the Corporation (i) in the case of any update and supplement required to be made as of the record date for notice of the meeting, not later than five (5) days after the later of such record date and the public announcement of such record date and (ii) in the case of any update or supplement required to be made as of fifteen (15) days prior to the meeting or adjournment or postponement thereof, not later than ten (10) days prior to the date of the meeting or any adjournment or postponement thereof. The Corporation may require any proposed nominee to furnish, within ten (10) days of a request therefor, such other information as it may reasonably require to determine whether such proposed nominee is qualified under the Restated Certificate of Incorporation, these Bylaws, the rules or regulations of any stock exchange applicable to the Corporation, or any law or regulation applicable to the Corporation to serve as a director of the Corporation. </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(B)</w:t>
      </w:r>
    </w:p>
    <w:p>
      <w:pPr>
        <w:pStyle w:val="TextBody"/>
        <w:bidi w:val="0"/>
        <w:spacing w:before="240" w:after="283"/>
        <w:jc w:val="left"/>
        <w:rPr/>
      </w:pPr>
      <w:r>
        <w:rPr>
          <w:rFonts w:ascii="Times New Roman" w:hAnsi="Times New Roman"/>
          <w:color w:val="000000"/>
          <w:sz w:val="24"/>
          <w:u w:val="single"/>
        </w:rPr>
        <w:t>Special Meetings of Stockholders</w:t>
      </w:r>
      <w:r>
        <w:rPr>
          <w:rFonts w:ascii="Times New Roman" w:hAnsi="Times New Roman"/>
          <w:color w:val="000000"/>
          <w:sz w:val="24"/>
        </w:rPr>
        <w:t xml:space="preserve">. Only such business (including, if applicable, the election of specific individuals to fill vacancies or newly created directorships on the Board of Directors) shall be conducted at a special meeting of stockholders as shall have been brought before the meeting pursuant to the Corporation’s notice of meeting. At any time that stockholders are not prohibited from filling vacancies or newly created directorships on the Board of Directors, nominations of persons for the election to the Board of Directors to fill any vacancy or unfilled newly created directorship may be made at a special meeting of stockholders at which any proposal to fill any vacancy or unfilled newly created directorship is to be presented to the stockholders (1) as provided in the Stockholders Agreements, (2) by or at the direction of the Board of Directors or any committee thereof or (3) by any stockholder of the Corporation who was a stockholder of record at the time such notice is delivered to the Secretary of the Corporation and at the time of the meeting, is entitled to vote at the meeting on such matters, and who (subject to paragraph (C)(4) of this </w:t>
      </w:r>
      <w:r>
        <w:rPr>
          <w:rFonts w:ascii="Times New Roman" w:hAnsi="Times New Roman"/>
          <w:color w:val="000000"/>
          <w:sz w:val="24"/>
          <w:u w:val="single"/>
        </w:rPr>
        <w:t>Section 2.03</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rFonts w:ascii="Times New Roman" w:hAnsi="Times New Roman"/>
          <w:color w:val="000000"/>
          <w:sz w:val="24"/>
        </w:rPr>
        <w:t xml:space="preserve">complies with the notice procedures set forth in paragraphs (A)(2) and (A)(3)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(except to the extent inconsistent with this paragraph (B) relating to the time period during which the stockholder must deliver the initial notice). The number of nominees a stockholder may nominate for election at the special meeting on such stockholder’s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to fill any vacancy or newly created directorship on the Board of Directors, any such stockholder entitled to vote on such matter may nominate a person or persons (as the case may be) for election to such position(s) as specified in the Corporation’s notice of meeting only if the stockholder delivers a written notice complying with the applicable requirements in paragraphs (A)(2) and (A)(3)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and this paragraph (B) to the Secretary at the principal executive offices of the Corporation not earlier than the one hundred and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(C)</w:t>
      </w:r>
    </w:p>
    <w:p>
      <w:pPr>
        <w:pStyle w:val="TextBody"/>
        <w:bidi w:val="0"/>
        <w:spacing w:before="240" w:after="283"/>
        <w:jc w:val="left"/>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(1)</w:t>
      </w:r>
    </w:p>
    <w:p>
      <w:pPr>
        <w:pStyle w:val="TextBody"/>
        <w:bidi w:val="0"/>
        <w:spacing w:before="240" w:after="283"/>
        <w:jc w:val="left"/>
        <w:rPr/>
      </w:pPr>
      <w:r>
        <w:rPr>
          <w:rFonts w:ascii="Times New Roman" w:hAnsi="Times New Roman"/>
          <w:color w:val="000000"/>
          <w:sz w:val="24"/>
        </w:rPr>
        <w:t xml:space="preserve">Except as provided in paragraph (C)(4) of this </w:t>
      </w:r>
      <w:r>
        <w:rPr>
          <w:rFonts w:ascii="Times New Roman" w:hAnsi="Times New Roman"/>
          <w:color w:val="000000"/>
          <w:sz w:val="24"/>
          <w:u w:val="single"/>
        </w:rPr>
        <w:t>Section 2.03</w:t>
      </w:r>
      <w:r>
        <w:rPr>
          <w:rFonts w:ascii="Times New Roman" w:hAnsi="Times New Roman"/>
          <w:color w:val="000000"/>
          <w:sz w:val="24"/>
        </w:rPr>
        <w:t xml:space="preserve">, only such persons who are nominated in accordance with the procedures set forth in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or the Stockholders Agreements shall be eligible to serve as directors and only such business shall be conducted at an annual or special meeting of stockholders as shall have been brought before the meeting in accordance with the procedures set forth in this </w:t>
      </w:r>
      <w:r>
        <w:rPr>
          <w:rFonts w:ascii="Times New Roman" w:hAnsi="Times New Roman"/>
          <w:color w:val="000000"/>
          <w:sz w:val="24"/>
          <w:u w:val="single"/>
        </w:rPr>
        <w:t>Section 2.03</w:t>
      </w:r>
      <w:r>
        <w:rPr>
          <w:rFonts w:ascii="Times New Roman" w:hAnsi="Times New Roman"/>
          <w:color w:val="000000"/>
          <w:sz w:val="24"/>
        </w:rPr>
        <w:t xml:space="preserve">. Except as otherwise provided by the DGCL, the Restated Certificate of Incorporation or these Bylaws, the chair of the meeting, subject to the supervision, discretion and control of the Board of Directors (and, in advance of the meeting of stockholders, the Board of Directors or a duly authorized committee thereof)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(A)(3)(c)(iv) of this </w:t>
      </w:r>
      <w:r>
        <w:rPr>
          <w:rFonts w:ascii="Times New Roman" w:hAnsi="Times New Roman"/>
          <w:color w:val="000000"/>
          <w:sz w:val="24"/>
          <w:u w:val="single"/>
        </w:rPr>
        <w:t>Section 2.03</w:t>
      </w:r>
      <w:r>
        <w:rPr>
          <w:rFonts w:ascii="Times New Roman" w:hAnsi="Times New Roman"/>
          <w:color w:val="000000"/>
          <w:sz w:val="24"/>
        </w:rPr>
        <w:t xml:space="preserve">)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 of the meeting. The Board of Directors may adopt by resolution such rules and regulations for the conduct of the meeting of stockholders as it shall deem appropriate. Except to the extent inconsistent with such rules and regulations as adopted by the Board of Directors,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and (v) limitations on the time allotted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rFonts w:ascii="Times New Roman" w:hAnsi="Times New Roman"/>
          <w:color w:val="000000"/>
          <w:sz w:val="24"/>
        </w:rPr>
        <w:t xml:space="preserve">to questions or comments by participants. Notwithstanding the foregoing provisions of this </w:t>
      </w:r>
      <w:r>
        <w:rPr>
          <w:rFonts w:ascii="Times New Roman" w:hAnsi="Times New Roman"/>
          <w:color w:val="000000"/>
          <w:sz w:val="24"/>
          <w:u w:val="single"/>
        </w:rPr>
        <w:t>Section 2.03</w:t>
      </w:r>
      <w:r>
        <w:rPr>
          <w:rFonts w:ascii="Times New Roman" w:hAnsi="Times New Roman"/>
          <w:color w:val="000000"/>
          <w:sz w:val="24"/>
        </w:rPr>
        <w:t xml:space="preserve">,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such proposal or nomination is set forth in the notice of meeting or other proxy materials and notwithstanding that proxies in respect of such vote may have been received by the Corporation. For purposes of this </w:t>
      </w:r>
      <w:r>
        <w:rPr>
          <w:rFonts w:ascii="Times New Roman" w:hAnsi="Times New Roman"/>
          <w:color w:val="000000"/>
          <w:sz w:val="24"/>
          <w:u w:val="single"/>
        </w:rPr>
        <w:t>Section 2.03</w:t>
      </w:r>
      <w:r>
        <w:rPr>
          <w:rFonts w:ascii="Times New Roman" w:hAnsi="Times New Roman"/>
          <w:color w:val="000000"/>
          <w:sz w:val="24"/>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meetings of stockholders shall not be required to be held in accordance with the rules of parliamentary procedure. Notwithstanding anything to the contrary in these Bylaws, unless otherwise required by law, if any stockholder or proponent person (i) provides notice pursuant to Rule 14a-19(b) promulgated under the Exchange Act with respect to any proposed nominee and (ii) subsequently fails to comply with the requirements of Rule 14a-19 promulgated under the Exchange Act (or fails to timely provide reasonable evidence sufficient to satisfy the Corporation that such stockholder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stockholder or proponent person provides notice pursuant to Rule 14a-19(b) promulgated under the Exchange Act, such stockholder shall deliver to the Corporation, no later than five (5) business days prior to the date of the meeting and any adjournment or postponement thereof, reasonable evidence that it or such proponent person has met the requirements of Rule 14a-19(a)(3) promulgated under the Exchange Act.</w:t>
      </w:r>
      <w:r>
        <w:rPr>
          <w:color w:val="000000"/>
        </w:rPr>
        <w:t xml:space="preserve"> </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(2)</w:t>
      </w:r>
    </w:p>
    <w:p>
      <w:pPr>
        <w:pStyle w:val="TextBody"/>
        <w:bidi w:val="0"/>
        <w:spacing w:before="240" w:after="283"/>
        <w:jc w:val="left"/>
        <w:rPr/>
      </w:pPr>
      <w:r>
        <w:rPr>
          <w:rFonts w:ascii="Times New Roman" w:hAnsi="Times New Roman"/>
          <w:color w:val="000000"/>
          <w:sz w:val="24"/>
        </w:rPr>
        <w:t>Whenever used in these Bylaws, “</w:t>
      </w:r>
      <w:r>
        <w:rPr>
          <w:rFonts w:ascii="Times New Roman" w:hAnsi="Times New Roman"/>
          <w:color w:val="000000"/>
          <w:sz w:val="24"/>
          <w:u w:val="single"/>
        </w:rPr>
        <w:t>public announcement</w:t>
      </w:r>
      <w:r>
        <w:rPr>
          <w:color w:val="000000"/>
        </w:rPr>
        <w:t xml:space="preserve">” </w:t>
      </w:r>
      <w:r>
        <w:rPr>
          <w:rFonts w:ascii="Times New Roman" w:hAnsi="Times New Roman"/>
          <w:color w:val="000000"/>
          <w:sz w:val="24"/>
        </w:rPr>
        <w:t xml:space="preserve">shall mean disclosure (a) in a press release released by the Corporation, </w:t>
      </w:r>
      <w:r>
        <w:rPr>
          <w:rFonts w:ascii="Times New Roman" w:hAnsi="Times New Roman"/>
          <w:i/>
          <w:color w:val="000000"/>
          <w:sz w:val="24"/>
        </w:rPr>
        <w:t xml:space="preserve">provided </w:t>
      </w:r>
      <w:r>
        <w:rPr>
          <w:rFonts w:ascii="Times New Roman" w:hAnsi="Times New Roman"/>
          <w:color w:val="000000"/>
          <w:sz w:val="24"/>
        </w:rPr>
        <w:t>such press release is released by the Corporation following its customary procedures, is reported by the Dow Jones News Service, Associated Press, Business Wire or PR Newswire or comparable national news service, or is generally available on internet news sites, or (b) in a document publicly filed by the Corporation with the Securities and Exchange Commission pursuant to Sections 13, 14 or 15(d) of the Exchange Act and the rules and regulations promulgated thereunder. For purposes of this Section 2.03, the term “</w:t>
      </w:r>
      <w:r>
        <w:rPr>
          <w:rFonts w:ascii="Times New Roman" w:hAnsi="Times New Roman"/>
          <w:color w:val="000000"/>
          <w:sz w:val="24"/>
          <w:u w:val="single"/>
        </w:rPr>
        <w:t>close of business</w:t>
      </w:r>
      <w:r>
        <w:rPr>
          <w:color w:val="000000"/>
        </w:rPr>
        <w:t xml:space="preserve">” </w:t>
      </w:r>
      <w:r>
        <w:rPr>
          <w:rFonts w:ascii="Times New Roman" w:hAnsi="Times New Roman"/>
          <w:color w:val="000000"/>
          <w:sz w:val="24"/>
        </w:rPr>
        <w:t>shall mean 6:00 p.m. local time at the principal executive offices of the Corporation on any calendar day, whether or not the day is a business day, and the term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have the meaning given to such term under Rule 405 (“</w:t>
      </w:r>
      <w:r>
        <w:rPr>
          <w:rFonts w:ascii="Times New Roman" w:hAnsi="Times New Roman"/>
          <w:color w:val="000000"/>
          <w:sz w:val="24"/>
          <w:u w:val="single"/>
        </w:rPr>
        <w:t>Rule 405</w:t>
      </w:r>
      <w:r>
        <w:rPr>
          <w:color w:val="000000"/>
        </w:rPr>
        <w:t>”</w:t>
      </w:r>
      <w:r>
        <w:rPr>
          <w:rFonts w:ascii="Times New Roman" w:hAnsi="Times New Roman"/>
          <w:color w:val="000000"/>
          <w:sz w:val="24"/>
        </w:rPr>
        <w:t>) promulgated under the Securities Act of 1933, as amended, and the term “</w:t>
      </w:r>
      <w:r>
        <w:rPr>
          <w:rFonts w:ascii="Times New Roman" w:hAnsi="Times New Roman"/>
          <w:color w:val="000000"/>
          <w:sz w:val="24"/>
          <w:u w:val="single"/>
        </w:rPr>
        <w:t>associate</w:t>
      </w:r>
      <w:r>
        <w:rPr>
          <w:color w:val="000000"/>
        </w:rPr>
        <w:t xml:space="preserve">” </w:t>
      </w:r>
      <w:r>
        <w:rPr>
          <w:rFonts w:ascii="Times New Roman" w:hAnsi="Times New Roman"/>
          <w:color w:val="000000"/>
          <w:sz w:val="24"/>
        </w:rPr>
        <w:t xml:space="preserve">shall have the meaning given to such term under Rule 405; </w:t>
      </w:r>
      <w:r>
        <w:rPr>
          <w:rFonts w:ascii="Times New Roman" w:hAnsi="Times New Roman"/>
          <w:i/>
          <w:color w:val="000000"/>
          <w:sz w:val="24"/>
        </w:rPr>
        <w:t xml:space="preserve">provided </w:t>
      </w:r>
      <w:r>
        <w:rPr>
          <w:rFonts w:ascii="Times New Roman" w:hAnsi="Times New Roman"/>
          <w:color w:val="000000"/>
          <w:sz w:val="24"/>
        </w:rPr>
        <w:t>that the term “</w:t>
      </w:r>
      <w:r>
        <w:rPr>
          <w:rFonts w:ascii="Times New Roman" w:hAnsi="Times New Roman"/>
          <w:color w:val="000000"/>
          <w:sz w:val="24"/>
          <w:u w:val="single"/>
        </w:rPr>
        <w:t>partner</w:t>
      </w:r>
      <w:r>
        <w:rPr>
          <w:color w:val="000000"/>
        </w:rPr>
        <w:t xml:space="preserve">” </w:t>
      </w:r>
      <w:r>
        <w:rPr>
          <w:rFonts w:ascii="Times New Roman" w:hAnsi="Times New Roman"/>
          <w:color w:val="000000"/>
          <w:sz w:val="24"/>
        </w:rPr>
        <w:t>as used in the definition of “</w:t>
      </w:r>
      <w:r>
        <w:rPr>
          <w:rFonts w:ascii="Times New Roman" w:hAnsi="Times New Roman"/>
          <w:color w:val="000000"/>
          <w:sz w:val="24"/>
          <w:u w:val="single"/>
        </w:rPr>
        <w:t>associate</w:t>
      </w:r>
      <w:r>
        <w:rPr>
          <w:color w:val="000000"/>
        </w:rPr>
        <w:t xml:space="preserve">” </w:t>
      </w:r>
      <w:r>
        <w:rPr>
          <w:rFonts w:ascii="Times New Roman" w:hAnsi="Times New Roman"/>
          <w:color w:val="000000"/>
          <w:sz w:val="24"/>
        </w:rPr>
        <w:t>thereunder shall not include any limited partner that is not involved in the management of the relevant partnership.</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(3)</w:t>
      </w:r>
    </w:p>
    <w:p>
      <w:pPr>
        <w:pStyle w:val="TextBody"/>
        <w:bidi w:val="0"/>
        <w:spacing w:before="240" w:after="283"/>
        <w:jc w:val="left"/>
        <w:rPr/>
      </w:pPr>
      <w:r>
        <w:rPr>
          <w:rFonts w:ascii="Times New Roman" w:hAnsi="Times New Roman"/>
          <w:color w:val="000000"/>
          <w:sz w:val="24"/>
        </w:rPr>
        <w:t xml:space="preserve">Notwithstanding the foregoing provisions of this </w:t>
      </w:r>
      <w:r>
        <w:rPr>
          <w:rFonts w:ascii="Times New Roman" w:hAnsi="Times New Roman"/>
          <w:color w:val="000000"/>
          <w:sz w:val="24"/>
          <w:u w:val="single"/>
        </w:rPr>
        <w:t>Section 2.03</w:t>
      </w:r>
      <w:r>
        <w:rPr>
          <w:rFonts w:ascii="Times New Roman" w:hAnsi="Times New Roman"/>
          <w:color w:val="000000"/>
          <w:sz w:val="24"/>
        </w:rPr>
        <w:t xml:space="preserve">, a stockholder shall also comply with all applicable requirements of the Exchange Act and the rules and regulations promulgated thereunder with respect to the matters set forth in this </w:t>
      </w:r>
      <w:r>
        <w:rPr>
          <w:rFonts w:ascii="Times New Roman" w:hAnsi="Times New Roman"/>
          <w:color w:val="000000"/>
          <w:sz w:val="24"/>
          <w:u w:val="single"/>
        </w:rPr>
        <w:t>Section 2.03</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of this </w:t>
      </w:r>
      <w:r>
        <w:rPr>
          <w:rFonts w:ascii="Times New Roman" w:hAnsi="Times New Roman"/>
          <w:color w:val="000000"/>
          <w:sz w:val="24"/>
          <w:u w:val="single"/>
        </w:rPr>
        <w:t>Section 2.03</w:t>
      </w:r>
      <w:r>
        <w:rPr>
          <w:rFonts w:ascii="Times New Roman" w:hAnsi="Times New Roman"/>
          <w:color w:val="000000"/>
          <w:sz w:val="24"/>
        </w:rPr>
        <w:t xml:space="preserve">), and compliance with paragraphs (A)(1)(d) and (B)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of these Bylaws shall be the exclusive means for a stockholder to make nominations or submit other business. Nothing in these Bylaws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shall be deemed to affect any rights of the holders of any class or series of stock having a preference over the Common Stock as to dividends or upon liquidation to elect directors under specified circumstances.</w:t>
      </w:r>
    </w:p>
    <w:p>
      <w:pPr>
        <w:pStyle w:val="TextBody"/>
        <w:bidi w:val="0"/>
        <w:spacing w:before="240" w:after="283"/>
        <w:jc w:val="left"/>
        <w:rPr>
          <w:rFonts w:ascii="Times New Roman" w:hAnsi="Times New Roman"/>
          <w:color w:val="010000"/>
          <w:sz w:val="24"/>
        </w:rPr>
      </w:pPr>
      <w:r>
        <w:rPr>
          <w:rFonts w:ascii="Times New Roman" w:hAnsi="Times New Roman"/>
          <w:color w:val="010000"/>
          <w:sz w:val="24"/>
        </w:rPr>
        <w:t>(4)</w:t>
      </w:r>
    </w:p>
    <w:p>
      <w:pPr>
        <w:pStyle w:val="TextBody"/>
        <w:bidi w:val="0"/>
        <w:spacing w:before="240" w:after="283"/>
        <w:jc w:val="left"/>
        <w:rPr/>
      </w:pPr>
      <w:r>
        <w:rPr>
          <w:rFonts w:ascii="Times New Roman" w:hAnsi="Times New Roman"/>
          <w:color w:val="000000"/>
          <w:sz w:val="24"/>
        </w:rPr>
        <w:t xml:space="preserve">Notwithstanding anything to the contrary contained in this </w:t>
      </w:r>
      <w:r>
        <w:rPr>
          <w:rFonts w:ascii="Times New Roman" w:hAnsi="Times New Roman"/>
          <w:color w:val="000000"/>
          <w:sz w:val="24"/>
          <w:u w:val="single"/>
        </w:rPr>
        <w:t>Section 2.03</w:t>
      </w:r>
      <w:r>
        <w:rPr>
          <w:rFonts w:ascii="Times New Roman" w:hAnsi="Times New Roman"/>
          <w:color w:val="000000"/>
          <w:sz w:val="24"/>
        </w:rPr>
        <w:t xml:space="preserve">, for as long as any Stockholders Agreement remains in effect with respect to the parties to such agreement and the Designating Stockholder Representative (as defined in such Stockholders Agreement) has the right to nominate at least one Designee (as defined in such Stockholders Agreement) thereunder, the parties to the Stockholders Agreements (to the extent then subject to a respective Stockholders Agreement) shall not be subject to the notice procedures set forth in paragraphs (A)(2), (A)(3) or (B) of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in connection with any annual or special meeting of stockholders.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2.04 </w:t>
      </w:r>
      <w:r>
        <w:rPr>
          <w:rFonts w:ascii="Times New Roman" w:hAnsi="Times New Roman"/>
          <w:color w:val="000000"/>
          <w:sz w:val="24"/>
          <w:u w:val="single"/>
        </w:rPr>
        <w:t>Notice of Meetings</w:t>
      </w:r>
      <w:r>
        <w:rPr>
          <w:rFonts w:ascii="Times New Roman" w:hAnsi="Times New Roman"/>
          <w:color w:val="000000"/>
          <w:sz w:val="24"/>
        </w:rPr>
        <w:t>. Whenever stockholders are required or permitted to take any action at a meeting, notice stating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given to each stockholder of record entitled to vote thereat as of the record date for determining the stockholders entitled to notice of the meeting. Unless otherwise provided by law, the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2.05 </w:t>
      </w:r>
      <w:r>
        <w:rPr>
          <w:rFonts w:ascii="Times New Roman" w:hAnsi="Times New Roman"/>
          <w:color w:val="000000"/>
          <w:sz w:val="24"/>
          <w:u w:val="single"/>
        </w:rPr>
        <w:t>Quorum</w:t>
      </w:r>
      <w:r>
        <w:rPr>
          <w:rFonts w:ascii="Times New Roman" w:hAnsi="Times New Roman"/>
          <w:color w:val="000000"/>
          <w:sz w:val="24"/>
        </w:rPr>
        <w:t>. Unless otherwise required by law, the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2.06 </w:t>
      </w:r>
      <w:r>
        <w:rPr>
          <w:rFonts w:ascii="Times New Roman" w:hAnsi="Times New Roman"/>
          <w:color w:val="000000"/>
          <w:sz w:val="24"/>
          <w:u w:val="single"/>
        </w:rPr>
        <w:t>Voting</w:t>
      </w:r>
      <w:r>
        <w:rPr>
          <w:rFonts w:ascii="Times New Roman" w:hAnsi="Times New Roman"/>
          <w:color w:val="000000"/>
          <w:sz w:val="24"/>
        </w:rPr>
        <w:t>. Except as otherwise provided by or pursuant to the provisions of the Restated Certificate of Incorporation, each stockholder entitled to vote at any meeting of stockholders shall be entitled to one vote for each share of stock held by such stockholder that has voting power upon the matters in question. Each stockholder entitled to vote at a meeting of stockholders or to express consent to corporate action without a meeting may authorize another person or persons to act for such stockholder by proxy in any manner provided under Section 212(c) of the DGCL or as otherwise provided under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votes cast for or against a proposal shall be required to approve such proposal, unless the question is one upon which, by express provision of applicable law, of the rules or regulations of any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exchange applicable to the Corporation, of any regulation applicable to the Corporation or its securities, of the Restated Certificate of Incorporation or of these Bylaws, a different or minimum vote is required, in which case such express provision shall govern and control the decision of such question. Notwithstanding the foregoing sentence and subject to the Restated Certificate of Incorporation, all elections of directors shall be determined by a plurality of the votes cast in respect of the shares present in person or represented by proxy at the meeting and entitled to vote on the election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2.07 </w:t>
      </w:r>
      <w:r>
        <w:rPr>
          <w:rFonts w:ascii="Times New Roman" w:hAnsi="Times New Roman"/>
          <w:color w:val="000000"/>
          <w:sz w:val="24"/>
          <w:u w:val="single"/>
        </w:rPr>
        <w:t>Chair of Meetings</w:t>
      </w:r>
      <w:r>
        <w:rPr>
          <w:rFonts w:ascii="Times New Roman" w:hAnsi="Times New Roman"/>
          <w:color w:val="000000"/>
          <w:sz w:val="24"/>
        </w:rPr>
        <w:t>. The Chair, if one is elected, or, in the Chair’s absence or disability or refusal to act, the Chief Executive Officer, or in the absence, disability or refusal to act of the Chair and the Chief Executive Officer, a director or officer designated by the Board of Directors shall be the chair of the meeting and, as such, preside at all meetings of the stockholders.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2.08 </w:t>
      </w:r>
      <w:r>
        <w:rPr>
          <w:rFonts w:ascii="Times New Roman" w:hAnsi="Times New Roman"/>
          <w:color w:val="000000"/>
          <w:sz w:val="24"/>
          <w:u w:val="single"/>
        </w:rPr>
        <w:t>Secretary of Meetings</w:t>
      </w:r>
      <w:r>
        <w:rPr>
          <w:rFonts w:ascii="Times New Roman" w:hAnsi="Times New Roman"/>
          <w:color w:val="000000"/>
          <w:sz w:val="24"/>
        </w:rPr>
        <w:t>. The Secretary of the Corporation shall act as Secretary at all meetings of the stockholders. In the absence or disability or refusal to act of the Secretary, the Assistant Secretary shall act as the Secretary or the Chair, the Chief Executive Officer or the chair of the meeting shall appoint a person to act as Secretary at such meetings.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2.09 </w:t>
      </w:r>
      <w:r>
        <w:rPr>
          <w:rFonts w:ascii="Times New Roman" w:hAnsi="Times New Roman"/>
          <w:color w:val="000000"/>
          <w:sz w:val="24"/>
          <w:u w:val="single"/>
        </w:rPr>
        <w:t>Consent of Stockholders in Lieu of Meeting</w:t>
      </w:r>
      <w:r>
        <w:rPr>
          <w:rFonts w:ascii="Times New Roman" w:hAnsi="Times New Roman"/>
          <w:color w:val="000000"/>
          <w:sz w:val="24"/>
        </w:rPr>
        <w:t>. Any action required or permitted to be taken at any annual or special meeting of stockholders of the Corporation may be taken without a meeting, without prior notice and without a vote only to the extent permitted by and in the manner provided in the Restated Certificate of Incorporation and in accordance with applicable law.</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2.10 </w:t>
      </w:r>
      <w:r>
        <w:rPr>
          <w:rFonts w:ascii="Times New Roman" w:hAnsi="Times New Roman"/>
          <w:color w:val="000000"/>
          <w:sz w:val="24"/>
          <w:u w:val="single"/>
        </w:rPr>
        <w:t>Adjournment</w:t>
      </w:r>
      <w:r>
        <w:rPr>
          <w:rFonts w:ascii="Times New Roman" w:hAnsi="Times New Roman"/>
          <w:color w:val="000000"/>
          <w:sz w:val="24"/>
        </w:rPr>
        <w:t xml:space="preserve">. At any meeting of stockholders of the Corporation, if less than a quorum is present, the chair of the meeting or stockholders holding a majority in voting power of the shares of stock of the Corporation, present in person or by proxy and entitled to vote thereon, shall have the power to adjourn the meeting from time to time. Any meeting of stockholders of the Corporation may be adjourned by the chair of the meeting or the stockholders (including to address a technical failure to convene or continue a meeting using remote communication), and no notice of the adjourned meeting shall be required to be given if the time and place, if any, thereof and the means of remote communication, if any, by which stockholders and proxyholders may be deemed present in person and may vote at such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w:t>
      </w:r>
      <w:r>
        <w:rPr>
          <w:rFonts w:ascii="Times New Roman" w:hAnsi="Times New Roman"/>
          <w:color w:val="000000"/>
          <w:sz w:val="24"/>
          <w:u w:val="single"/>
        </w:rPr>
        <w:t>Section 2.04</w:t>
      </w:r>
      <w:r>
        <w:rPr>
          <w:rFonts w:ascii="Times New Roman" w:hAnsi="Times New Roman"/>
          <w:color w:val="000000"/>
          <w:sz w:val="24"/>
        </w:rPr>
        <w:t>. Any business may be transacted at the adjourned meeting that might have been transacted at the meeting originally noticed. Notwithstanding the foregoing, (i) if the adjournment is for more than thirty (30) days, a notice of the adjourned meeting shall be given to each stockholder of record entitled to vote at the meeting and (ii)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2.11 </w:t>
      </w:r>
      <w:r>
        <w:rPr>
          <w:rFonts w:ascii="Times New Roman" w:hAnsi="Times New Roman"/>
          <w:color w:val="000000"/>
          <w:sz w:val="24"/>
          <w:u w:val="single"/>
        </w:rPr>
        <w:t>Remote Communication</w:t>
      </w:r>
      <w:r>
        <w:rPr>
          <w:rFonts w:ascii="Times New Roman" w:hAnsi="Times New Roman"/>
          <w:color w:val="000000"/>
          <w:sz w:val="24"/>
        </w:rPr>
        <w:t>. If authorized by the Board of Directors in its sole discretion, and subject to such guidelines and procedures as the Board of Directors may adopt, stockholders and proxyholders not physically present at a meeting of stockholders may, by means of remote communication: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participate in a meeting of stockholders;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be deemed present in person and vote at a meeting of stockholders whether such meeting is to be held at a designated place or solely by means of remote communication;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 the Corporation shall implement reasonable measures to verify that each person deemed present and permitted to vote at the meeting by means of remote communication is a stockholder or proxyholder;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 if any stockholder or proxyholder votes or takes other action at the meeting by means of remote communication, a record of such vote or other action shall be maintained by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2.12 </w:t>
      </w:r>
      <w:r>
        <w:rPr>
          <w:rFonts w:ascii="Times New Roman" w:hAnsi="Times New Roman"/>
          <w:color w:val="000000"/>
          <w:sz w:val="24"/>
          <w:u w:val="single"/>
        </w:rPr>
        <w:t>Inspectors of Election</w:t>
      </w:r>
      <w:r>
        <w:rPr>
          <w:rFonts w:ascii="Times New Roman" w:hAnsi="Times New Roman"/>
          <w:color w:val="000000"/>
          <w:sz w:val="24"/>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such inspector’s duties, shall take and sign an oath to execute faithfully the duties of inspector with strict impartiality and according to the best of such inspector’s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2.13 </w:t>
      </w:r>
      <w:r>
        <w:rPr>
          <w:rFonts w:ascii="Times New Roman" w:hAnsi="Times New Roman"/>
          <w:color w:val="000000"/>
          <w:sz w:val="24"/>
          <w:u w:val="single"/>
        </w:rPr>
        <w:t>Delivery to the Corporation</w:t>
      </w:r>
      <w:r>
        <w:rPr>
          <w:rFonts w:ascii="Times New Roman" w:hAnsi="Times New Roman"/>
          <w:color w:val="000000"/>
          <w:sz w:val="24"/>
        </w:rPr>
        <w:t>. Whenever this Article II requires one or more persons (including a record or beneficial owner of stock) other than any party to the Stockholders Agreements to deliver a document or information to the Corporation or any officer, employee or agent thereof (including any notice, request, questionnaire, revocation, representation or other document or agreement), except as otherwise requested or consented to by the Corporation,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3.01 </w:t>
      </w:r>
      <w:r>
        <w:rPr>
          <w:rFonts w:ascii="Times New Roman" w:hAnsi="Times New Roman"/>
          <w:color w:val="000000"/>
          <w:sz w:val="24"/>
          <w:u w:val="single"/>
        </w:rPr>
        <w:t>Powers</w:t>
      </w:r>
      <w:r>
        <w:rPr>
          <w:rFonts w:ascii="Times New Roman" w:hAnsi="Times New Roman"/>
          <w:color w:val="000000"/>
          <w:sz w:val="24"/>
        </w:rPr>
        <w:t>. Except as otherwise provided by the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Restated Certificate of Incorporation directed or required to be exercised or done by the stockholders.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3.02 </w:t>
      </w:r>
      <w:r>
        <w:rPr>
          <w:rFonts w:ascii="Times New Roman" w:hAnsi="Times New Roman"/>
          <w:color w:val="000000"/>
          <w:sz w:val="24"/>
          <w:u w:val="single"/>
        </w:rPr>
        <w:t>Number and Term; Chair</w:t>
      </w:r>
      <w:r>
        <w:rPr>
          <w:rFonts w:ascii="Times New Roman" w:hAnsi="Times New Roman"/>
          <w:color w:val="000000"/>
          <w:sz w:val="24"/>
        </w:rPr>
        <w:t>. Subject to the Restated Certificate of Incorporation and the Stockholders Agreements, the number of directors shall be fixed exclusively by resolution of the Board of Directors. Directors shall be elected by the stockholders at their annual meeting, and the term of each director so elected shall be as set forth in the Restated Certificate of Incorporation. Directors need not be stockholders. The Board of Directors shall elect from its ranks a Chair, who shall have the powers and perform such duties as provided in these Bylaws and as the Board of Directors may from time to time prescribe. The Chair shall preside at all meetings of the Board of Directors at which the Chair is present. If the Chair is not present at a meeting of the Board of Directors, the Chief Executive Officer (if the Chief Executive Officer is a director and is not also the Chair) shall preside at such meeting, and, if the Chief Executive Officer is not present at such meeting or is not a director, a majority of the directors present at such meeting shall designate one (1) of their members to preside over such meeting.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3.03 </w:t>
      </w:r>
      <w:r>
        <w:rPr>
          <w:rFonts w:ascii="Times New Roman" w:hAnsi="Times New Roman"/>
          <w:color w:val="000000"/>
          <w:sz w:val="24"/>
          <w:u w:val="single"/>
        </w:rPr>
        <w:t>Resignations</w:t>
      </w:r>
      <w:r>
        <w:rPr>
          <w:rFonts w:ascii="Times New Roman" w:hAnsi="Times New Roman"/>
          <w:color w:val="000000"/>
          <w:sz w:val="24"/>
        </w:rPr>
        <w:t>. Any director may resign at any time upon notice given in writing or by electronic transmission to the Board of Directors, the Chair, the Chief Executive Officer or the Secretary of the Corporation. The resignation shall take effect at the time or upon the happening of any event specified therein, and if no such time or event is specified, at the time of its receipt. The acceptance of a resignation shall not be necessary to make it effective unless otherwise expressly provided in the resignation.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3.04 </w:t>
      </w:r>
      <w:r>
        <w:rPr>
          <w:rFonts w:ascii="Times New Roman" w:hAnsi="Times New Roman"/>
          <w:color w:val="000000"/>
          <w:sz w:val="24"/>
          <w:u w:val="single"/>
        </w:rPr>
        <w:t>Removal</w:t>
      </w:r>
      <w:r>
        <w:rPr>
          <w:rFonts w:ascii="Times New Roman" w:hAnsi="Times New Roman"/>
          <w:color w:val="000000"/>
          <w:sz w:val="24"/>
        </w:rPr>
        <w:t>. Directors of the Corporation may be removed in the manner provided in the Restated Certificate of Incorporation and applicable law.</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3.05 </w:t>
      </w:r>
      <w:r>
        <w:rPr>
          <w:rFonts w:ascii="Times New Roman" w:hAnsi="Times New Roman"/>
          <w:color w:val="000000"/>
          <w:sz w:val="24"/>
          <w:u w:val="single"/>
        </w:rPr>
        <w:t>Vacancies and Newly Created Directorships</w:t>
      </w:r>
      <w:r>
        <w:rPr>
          <w:rFonts w:ascii="Times New Roman" w:hAnsi="Times New Roman"/>
          <w:color w:val="000000"/>
          <w:sz w:val="24"/>
        </w:rPr>
        <w:t>. Except as otherwise provided by law and subject to the Stockholders Agreements, vacancies occurring in any directorship (whether by death, resignation, retirement, disqualification, removal or other cause) and newly created directorships resulting from any increase in the number of directors shall be filled in accordance with the Restated Certificate of Incorporation. Any director elected to fill a vacancy or newly created directorship shall hold office until the next annual meeting for the election of directors and until such director’s successor shall be elected and qualified, or until such director’s earlier death, resignation, retirement, disqualification or removal.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3.06 </w:t>
      </w:r>
      <w:r>
        <w:rPr>
          <w:rFonts w:ascii="Times New Roman" w:hAnsi="Times New Roman"/>
          <w:color w:val="000000"/>
          <w:sz w:val="24"/>
          <w:u w:val="single"/>
        </w:rPr>
        <w:t>Meetings</w:t>
      </w:r>
      <w:r>
        <w:rPr>
          <w:rFonts w:ascii="Times New Roman" w:hAnsi="Times New Roman"/>
          <w:color w:val="000000"/>
          <w:sz w:val="24"/>
        </w:rPr>
        <w:t>. Regular meetings of the Board of Directors may be held at such places and times as shall be determined from time to time by the Board of Directors. Special meetings of the Board of Directors may be called by the Chief Executive Officer of the Corporation or the Chair, and shall be called by the Chief Executive Officer or the Secretary of the Corporation if directed by a majority of the members of the Board of Directors then in office or a Designating Stockholder (as long as the Designating Stockholder has rights to designate members of the Board of Directors under the applicable Stockholders Agreement) and shall be at such places and times as they or he or she shall fix. Notice need not be given of regular meetings of the Board of Directors. At least twenty-four (24) hours before each special meeting of the Board of Directors, either written notice, notice by electronic transmission or oral notice (either in person or by telephone) of the time, date and place of the meeting shall be given to each director. Unless otherwise indicated in the notice thereof, any and all business may be transacted at a special meeting.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3.07 </w:t>
      </w:r>
      <w:r>
        <w:rPr>
          <w:rFonts w:ascii="Times New Roman" w:hAnsi="Times New Roman"/>
          <w:color w:val="000000"/>
          <w:sz w:val="24"/>
          <w:u w:val="single"/>
        </w:rPr>
        <w:t>Quorum, Voting and Adjournment</w:t>
      </w:r>
      <w:r>
        <w:rPr>
          <w:rFonts w:ascii="Times New Roman" w:hAnsi="Times New Roman"/>
          <w:color w:val="000000"/>
          <w:sz w:val="24"/>
        </w:rPr>
        <w:t>. Except as otherwise provided by the DGCL, the Restated Certificate of Incorporation or these Bylaws, a majority of the total number of directors shall constitute a quorum for the transaction of business. Except as otherwise provided by the DGCL, the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3.08 </w:t>
      </w:r>
      <w:r>
        <w:rPr>
          <w:rFonts w:ascii="Times New Roman" w:hAnsi="Times New Roman"/>
          <w:color w:val="000000"/>
          <w:sz w:val="24"/>
          <w:u w:val="single"/>
        </w:rPr>
        <w:t>Committees; Committee Rules</w:t>
      </w:r>
      <w:r>
        <w:rPr>
          <w:rFonts w:ascii="Times New Roman" w:hAnsi="Times New Roman"/>
          <w:color w:val="000000"/>
          <w:sz w:val="24"/>
        </w:rPr>
        <w:t>. The Board of Directors may designate one or more committees, including, but not limited to, an Audit Committee, a Compensation Committee and a Nominating and Governance Committee, each such committee to consist of one or more of the directors of the Corporation, subject to the Stockholders Agreements. The Board of Directors may designate one or more directors as alternate members of any committee to replace any absent or disqualified member at any meeting of the committee, subject to the Stockholders Agreements.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then serving on the committee shall be necessary to constitute a quorum unless there are only one or two members then serving,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3.09 </w:t>
      </w:r>
      <w:r>
        <w:rPr>
          <w:rFonts w:ascii="Times New Roman" w:hAnsi="Times New Roman"/>
          <w:color w:val="000000"/>
          <w:sz w:val="24"/>
          <w:u w:val="single"/>
        </w:rPr>
        <w:t>Action Without a Meeting</w:t>
      </w:r>
      <w:r>
        <w:rPr>
          <w:rFonts w:ascii="Times New Roman" w:hAnsi="Times New Roman"/>
          <w:color w:val="000000"/>
          <w:sz w:val="24"/>
        </w:rPr>
        <w:t>. Unless otherwise restricted by the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any consent may be documented, signed and delivered in any manner permitted by Section 116 of the DGCL. After an action is taken, the consent or consents, or electronic transmission or transmissions, shall be filed in the minutes of proceedings of the Board of Directors. Such filing shall be in paper form if the minutes are maintained in paper form or shall be in electronic form if the minutes are maintained in electronic form.</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3.10 </w:t>
      </w:r>
      <w:r>
        <w:rPr>
          <w:rFonts w:ascii="Times New Roman" w:hAnsi="Times New Roman"/>
          <w:color w:val="000000"/>
          <w:sz w:val="24"/>
          <w:u w:val="single"/>
        </w:rPr>
        <w:t>Remote Meeting</w:t>
      </w:r>
      <w:r>
        <w:rPr>
          <w:rFonts w:ascii="Times New Roman" w:hAnsi="Times New Roman"/>
          <w:color w:val="000000"/>
          <w:sz w:val="24"/>
        </w:rPr>
        <w:t>. Unless otherwise restricted by the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3.11 </w:t>
      </w:r>
      <w:r>
        <w:rPr>
          <w:rFonts w:ascii="Times New Roman" w:hAnsi="Times New Roman"/>
          <w:color w:val="000000"/>
          <w:sz w:val="24"/>
          <w:u w:val="single"/>
        </w:rPr>
        <w:t>Compensation</w:t>
      </w:r>
      <w:r>
        <w:rPr>
          <w:rFonts w:ascii="Times New Roman" w:hAnsi="Times New Roman"/>
          <w:color w:val="000000"/>
          <w:sz w:val="24"/>
        </w:rPr>
        <w:t>. The Board of Directors shall have the authority to fix the compensation, including fees and reimbursement of expenses, of directors for services to the Corporation in any capacity.</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3.12 </w:t>
      </w:r>
      <w:r>
        <w:rPr>
          <w:rFonts w:ascii="Times New Roman" w:hAnsi="Times New Roman"/>
          <w:color w:val="000000"/>
          <w:sz w:val="24"/>
          <w:u w:val="single"/>
        </w:rPr>
        <w:t>Reliance on Books and Records</w:t>
      </w:r>
      <w:r>
        <w:rPr>
          <w:rFonts w:ascii="Times New Roman" w:hAnsi="Times New Roman"/>
          <w:color w:val="000000"/>
          <w:sz w:val="24"/>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Officers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4.01 </w:t>
      </w:r>
      <w:r>
        <w:rPr>
          <w:rFonts w:ascii="Times New Roman" w:hAnsi="Times New Roman"/>
          <w:color w:val="000000"/>
          <w:sz w:val="24"/>
          <w:u w:val="single"/>
        </w:rPr>
        <w:t>Number</w:t>
      </w:r>
      <w:r>
        <w:rPr>
          <w:rFonts w:ascii="Times New Roman" w:hAnsi="Times New Roman"/>
          <w:color w:val="000000"/>
          <w:sz w:val="24"/>
        </w:rPr>
        <w:t>.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a Treasurer, and a Secretary and may elect (or delegate authority to the Chair of the Board of Directors or the Chief Executive Officer to appoint) one or more Vice Presidents, including one or more Executive Vice Presidents, Senior Vice Presidents, and one or more Assistant Treasurers, one or more Assistant Secretaries and any other additional officers as the Board of Directors deems necessary or advisable, who shall hold their office for such terms and shall exercise such powers and perform such duties as shall be determined from time to time by the Board of Directors. Any number of offices may be held by the same person.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4.02 </w:t>
      </w:r>
      <w:r>
        <w:rPr>
          <w:rFonts w:ascii="Times New Roman" w:hAnsi="Times New Roman"/>
          <w:color w:val="000000"/>
          <w:sz w:val="24"/>
          <w:u w:val="single"/>
        </w:rPr>
        <w:t>Other Officers and Agents</w:t>
      </w:r>
      <w:r>
        <w:rPr>
          <w:rFonts w:ascii="Times New Roman" w:hAnsi="Times New Roman"/>
          <w:color w:val="000000"/>
          <w:sz w:val="24"/>
        </w:rPr>
        <w:t>. The Board of Directors may appoint (or delegate authority to a duly authorized officer to appoint) such other officers and agents as it deems advisable, who shall hold their office for such terms and shall exercise and perform such powers and duties as shall be determined from time to time by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4.03 </w:t>
      </w:r>
      <w:r>
        <w:rPr>
          <w:rFonts w:ascii="Times New Roman" w:hAnsi="Times New Roman"/>
          <w:color w:val="000000"/>
          <w:sz w:val="24"/>
          <w:u w:val="single"/>
        </w:rPr>
        <w:t>Chief Executive Officer</w:t>
      </w:r>
      <w:r>
        <w:rPr>
          <w:rFonts w:ascii="Times New Roman" w:hAnsi="Times New Roman"/>
          <w:color w:val="000000"/>
          <w:sz w:val="24"/>
        </w:rPr>
        <w:t>. The Chief Executive Officer,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 or in the absence or inability to act as the Chair, the Chief Executive Officer shall exercise all of the powers and discharge all of the duties of the Chair, but only if the Chief Executive Officer is a director of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4.04 </w:t>
      </w:r>
      <w:r>
        <w:rPr>
          <w:rFonts w:ascii="Times New Roman" w:hAnsi="Times New Roman"/>
          <w:color w:val="000000"/>
          <w:sz w:val="24"/>
          <w:u w:val="single"/>
        </w:rPr>
        <w:t>President</w:t>
      </w:r>
      <w:r>
        <w:rPr>
          <w:rFonts w:ascii="Times New Roman" w:hAnsi="Times New Roman"/>
          <w:color w:val="000000"/>
          <w:sz w:val="24"/>
        </w:rPr>
        <w:t>.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4.05 </w:t>
      </w:r>
      <w:r>
        <w:rPr>
          <w:rFonts w:ascii="Times New Roman" w:hAnsi="Times New Roman"/>
          <w:color w:val="000000"/>
          <w:sz w:val="24"/>
          <w:u w:val="single"/>
        </w:rPr>
        <w:t>Vice Presidents</w:t>
      </w:r>
      <w:r>
        <w:rPr>
          <w:rFonts w:ascii="Times New Roman" w:hAnsi="Times New Roman"/>
          <w:color w:val="000000"/>
          <w:sz w:val="24"/>
        </w:rPr>
        <w:t>. Each Vice President, if any are elected, of whom one or more may be designated an Executive Vice President or Senior Vice President, shall have such powers and shall perform such duties as shall be assigned to him or her by the Chief Executive Officer or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4.06 </w:t>
      </w:r>
      <w:r>
        <w:rPr>
          <w:rFonts w:ascii="Times New Roman" w:hAnsi="Times New Roman"/>
          <w:color w:val="000000"/>
          <w:sz w:val="24"/>
          <w:u w:val="single"/>
        </w:rPr>
        <w:t>Treasurer</w:t>
      </w:r>
      <w:r>
        <w:rPr>
          <w:rFonts w:ascii="Times New Roman" w:hAnsi="Times New Roman"/>
          <w:color w:val="000000"/>
          <w:sz w:val="24"/>
        </w:rPr>
        <w:t>.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the Treasurer’s duties in such amount and with such surety as the Board of Directors shall prescribe.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addition, the Treasurer shall have such further powers and perform such other duties incident to the office of Treasurer as from time to time are assigned to him or her by the Chief Executive Officer or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4.07 </w:t>
      </w:r>
      <w:r>
        <w:rPr>
          <w:rFonts w:ascii="Times New Roman" w:hAnsi="Times New Roman"/>
          <w:color w:val="000000"/>
          <w:sz w:val="24"/>
          <w:u w:val="single"/>
        </w:rPr>
        <w:t>Secretary</w:t>
      </w:r>
      <w:r>
        <w:rPr>
          <w:rFonts w:ascii="Times New Roman" w:hAnsi="Times New Roman"/>
          <w:color w:val="000000"/>
          <w:sz w:val="24"/>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4.08 </w:t>
      </w:r>
      <w:r>
        <w:rPr>
          <w:rFonts w:ascii="Times New Roman" w:hAnsi="Times New Roman"/>
          <w:color w:val="000000"/>
          <w:sz w:val="24"/>
          <w:u w:val="single"/>
        </w:rPr>
        <w:t>Assistant Treasurers and Assistant Secretaries</w:t>
      </w:r>
      <w:r>
        <w:rPr>
          <w:rFonts w:ascii="Times New Roman" w:hAnsi="Times New Roman"/>
          <w:color w:val="000000"/>
          <w:sz w:val="24"/>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4.09 </w:t>
      </w:r>
      <w:r>
        <w:rPr>
          <w:rFonts w:ascii="Times New Roman" w:hAnsi="Times New Roman"/>
          <w:color w:val="000000"/>
          <w:sz w:val="24"/>
          <w:u w:val="single"/>
        </w:rPr>
        <w:t>Corporate Funds and Checks</w:t>
      </w:r>
      <w:r>
        <w:rPr>
          <w:rFonts w:ascii="Times New Roman" w:hAnsi="Times New Roman"/>
          <w:color w:val="000000"/>
          <w:sz w:val="24"/>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the President, a Vice President, the Treasurer or the Secretary or such other person or agent as may from time to time be authorized and with such countersignature, if any, as may be required by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4.10 </w:t>
      </w:r>
      <w:r>
        <w:rPr>
          <w:rFonts w:ascii="Times New Roman" w:hAnsi="Times New Roman"/>
          <w:color w:val="000000"/>
          <w:sz w:val="24"/>
          <w:u w:val="single"/>
        </w:rPr>
        <w:t>Contracts and Other Documents</w:t>
      </w:r>
      <w:r>
        <w:rPr>
          <w:rFonts w:ascii="Times New Roman" w:hAnsi="Times New Roman"/>
          <w:color w:val="000000"/>
          <w:sz w:val="24"/>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4.11 </w:t>
      </w:r>
      <w:r>
        <w:rPr>
          <w:rFonts w:ascii="Times New Roman" w:hAnsi="Times New Roman"/>
          <w:color w:val="000000"/>
          <w:sz w:val="24"/>
          <w:u w:val="single"/>
        </w:rPr>
        <w:t>Ownership of Stock of Another Corporation</w:t>
      </w:r>
      <w:r>
        <w:rPr>
          <w:rFonts w:ascii="Times New Roman" w:hAnsi="Times New Roman"/>
          <w:color w:val="000000"/>
          <w:sz w:val="24"/>
        </w:rPr>
        <w:t>. Unless otherwise directed by the Board of Directors, the Chief Executive Officer, the President,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4.12 </w:t>
      </w:r>
      <w:r>
        <w:rPr>
          <w:rFonts w:ascii="Times New Roman" w:hAnsi="Times New Roman"/>
          <w:color w:val="000000"/>
          <w:sz w:val="24"/>
          <w:u w:val="single"/>
        </w:rPr>
        <w:t>Delegation of Duties</w:t>
      </w:r>
      <w:r>
        <w:rPr>
          <w:rFonts w:ascii="Times New Roman" w:hAnsi="Times New Roman"/>
          <w:color w:val="000000"/>
          <w:sz w:val="24"/>
        </w:rPr>
        <w:t>. In the absence, disability or refusal of any officer to exercise and perform such officer’s duties, the Board of Directors may delegate to another officer such powers or duties.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4.13 </w:t>
      </w:r>
      <w:r>
        <w:rPr>
          <w:rFonts w:ascii="Times New Roman" w:hAnsi="Times New Roman"/>
          <w:color w:val="000000"/>
          <w:sz w:val="24"/>
          <w:u w:val="single"/>
        </w:rPr>
        <w:t>Resignation and Removal</w:t>
      </w:r>
      <w:r>
        <w:rPr>
          <w:rFonts w:ascii="Times New Roman" w:hAnsi="Times New Roman"/>
          <w:color w:val="000000"/>
          <w:sz w:val="24"/>
        </w:rPr>
        <w:t xml:space="preserve">. Any officer of the Corporation may be removed from office for or without cause at any time by the Board of Directors (or a duly authorized officer). Any officer may resign at any time in the same manner prescribed under </w:t>
      </w:r>
      <w:r>
        <w:rPr>
          <w:rFonts w:ascii="Times New Roman" w:hAnsi="Times New Roman"/>
          <w:color w:val="000000"/>
          <w:sz w:val="24"/>
          <w:u w:val="single"/>
        </w:rPr>
        <w:t>Section 3.03</w:t>
      </w:r>
      <w:r>
        <w:rPr>
          <w:rFonts w:ascii="Times New Roman" w:hAnsi="Times New Roman"/>
          <w:color w:val="000000"/>
          <w:sz w:val="20"/>
        </w:rPr>
        <w:t xml:space="preserve"> </w:t>
      </w:r>
      <w:r>
        <w:rPr>
          <w:rFonts w:ascii="Times New Roman" w:hAnsi="Times New Roman"/>
          <w:color w:val="000000"/>
          <w:sz w:val="24"/>
        </w:rPr>
        <w:t>of these Bylaws.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4.14 </w:t>
      </w:r>
      <w:r>
        <w:rPr>
          <w:rFonts w:ascii="Times New Roman" w:hAnsi="Times New Roman"/>
          <w:color w:val="000000"/>
          <w:sz w:val="24"/>
          <w:u w:val="single"/>
        </w:rPr>
        <w:t>Vacancies</w:t>
      </w:r>
      <w:r>
        <w:rPr>
          <w:rFonts w:ascii="Times New Roman" w:hAnsi="Times New Roman"/>
          <w:color w:val="000000"/>
          <w:sz w:val="24"/>
        </w:rPr>
        <w:t>. The Board of Directors shall have the power to fill vacancies occurring in any office.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5.01 </w:t>
      </w:r>
      <w:r>
        <w:rPr>
          <w:rFonts w:ascii="Times New Roman" w:hAnsi="Times New Roman"/>
          <w:color w:val="000000"/>
          <w:sz w:val="24"/>
          <w:u w:val="single"/>
        </w:rPr>
        <w:t>Shares With Certificates</w:t>
      </w:r>
      <w:r>
        <w:rPr>
          <w:rFonts w:ascii="Times New Roman" w:hAnsi="Times New Roman"/>
          <w:color w:val="000000"/>
          <w:sz w:val="24"/>
        </w:rPr>
        <w:t>. Unless the Board of Directors shall otherwise provide by resolution or resolutions that the shares of stock of the Corporation shall be represented by certificates, the Corporation’s stock shall be uncertificated shares. Every holder of stock in the Corporation represented by certificates shall be entitled to have a certificate signed by, or in the name of, the Corporation by any two authorized officers of the Corporation (it being understood that each of the Chair (if an officer), the Vice Chair (if an officer), Chief Executive Officer, President, Chief Financial Officer, a Vice President, the Treasurer, any Assistant Treasurer, the Secretary and any Assistant Secretary of the Corporation shall be an authorized officer for such purpose), certifying the number and class of shares of stock of the Corporation owned by such holder. Any or all of the signatures on any such certificate may be a facsimile.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5.02 </w:t>
      </w:r>
      <w:r>
        <w:rPr>
          <w:rFonts w:ascii="Times New Roman" w:hAnsi="Times New Roman"/>
          <w:color w:val="000000"/>
          <w:sz w:val="24"/>
          <w:u w:val="single"/>
        </w:rPr>
        <w:t>Uncertificated Shares</w:t>
      </w:r>
      <w:r>
        <w:rPr>
          <w:rFonts w:ascii="Times New Roman" w:hAnsi="Times New Roman"/>
          <w:color w:val="000000"/>
          <w:sz w:val="24"/>
        </w:rPr>
        <w:t>. Within a reasonable time after the issue or transfer of any uncertificated shares, a written statement of the information required by the DGCL shall be sent by or on behalf of the Corporation to stockholders entitled to such uncertificated shares. The Corporation may adopt a system of issuance, recordation and transfer of its shares of stock by electronic or other means not involving the issuance of certificates.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5.03 </w:t>
      </w:r>
      <w:r>
        <w:rPr>
          <w:rFonts w:ascii="Times New Roman" w:hAnsi="Times New Roman"/>
          <w:color w:val="000000"/>
          <w:sz w:val="24"/>
          <w:u w:val="single"/>
        </w:rPr>
        <w:t>Transfer of Shares</w:t>
      </w:r>
      <w:r>
        <w:rPr>
          <w:rFonts w:ascii="Times New Roman" w:hAnsi="Times New Roman"/>
          <w:color w:val="000000"/>
          <w:sz w:val="24"/>
        </w:rPr>
        <w:t>. Shares of stock of the Corporation represented by certificates shall be transferable upon its books by the holders thereof, in person or by their duly authorized attorneys or legal representatives, in the manner prescribed by law, the Restated Certificate of Incorporation and in these Bylaws, upon surrender to the Corporation by delivery of the certificates representing such shares (to the extent such shares are evidenced by a physical stock certificate) or by due delivery of transfer instructions (in the case of uncertificated shares) and any documents required therefor to the person in charge of the stock and transfer books and ledgers and compliance with any procedures adopted by the Corporation or its agents and applicable law. Certificates representing such shares, if any, shall be cancelled and new certificates (if the shares are to be certificated) or uncertificated shares (if the shares are to be uncertificated) shall thereupon be issued. A record shall be made of each transfer. Whenever any transfer of shares shall be made for collateral security, and not absolutely, it shall be so expressed in the entry of the transfer if, when the certificates (if any) are presented to the Corporation for transfer or when any uncertificated shares are requested to be transferred, both the transferor and transferee request the Corporation to do so. The Corporation shall, subject to applicable law, have power and authority to make such rules and regulations as it may deem necessary or proper concerning the issue, transfer and registration of certificates for shares of stock of the Corporation or uncertificated shares.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5.04 </w:t>
      </w:r>
      <w:r>
        <w:rPr>
          <w:rFonts w:ascii="Times New Roman" w:hAnsi="Times New Roman"/>
          <w:color w:val="000000"/>
          <w:sz w:val="24"/>
          <w:u w:val="single"/>
        </w:rPr>
        <w:t>Lost, Stolen, Destroyed or Mutilated Certificates</w:t>
      </w:r>
      <w:r>
        <w:rPr>
          <w:rFonts w:ascii="Times New Roman" w:hAnsi="Times New Roman"/>
          <w:color w:val="000000"/>
          <w:sz w:val="24"/>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such owner’s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5.05 </w:t>
      </w:r>
      <w:r>
        <w:rPr>
          <w:rFonts w:ascii="Times New Roman" w:hAnsi="Times New Roman"/>
          <w:color w:val="000000"/>
          <w:sz w:val="24"/>
          <w:u w:val="single"/>
        </w:rPr>
        <w:t>List of Stockholders Entitled to Vote</w:t>
      </w:r>
      <w:r>
        <w:rPr>
          <w:rFonts w:ascii="Times New Roman" w:hAnsi="Times New Roman"/>
          <w:color w:val="000000"/>
          <w:sz w:val="24"/>
        </w:rPr>
        <w:t>. The Corporation shall prepare, no later than the tenth (10</w:t>
      </w:r>
      <w:r>
        <w:rPr>
          <w:rFonts w:ascii="Times New Roman" w:hAnsi="Times New Roman"/>
          <w:color w:val="000000"/>
          <w:sz w:val="16"/>
        </w:rPr>
        <w:t>th</w:t>
      </w:r>
      <w:r>
        <w:rPr>
          <w:rFonts w:ascii="Times New Roman" w:hAnsi="Times New Roman"/>
          <w:color w:val="000000"/>
          <w:sz w:val="24"/>
        </w:rPr>
        <w:t>) day before each meeting of stockholders, a complete list of the stockholders entitled to vote at the meeting (</w:t>
      </w:r>
      <w:r>
        <w:rPr>
          <w:rFonts w:ascii="Times New Roman" w:hAnsi="Times New Roman"/>
          <w:i/>
          <w:color w:val="000000"/>
          <w:sz w:val="24"/>
        </w:rPr>
        <w:t>provided, however</w:t>
      </w:r>
      <w:r>
        <w:rPr>
          <w:rFonts w:ascii="Times New Roman" w:hAnsi="Times New Roman"/>
          <w:color w:val="000000"/>
          <w:sz w:val="24"/>
        </w:rPr>
        <w:t>, that if the record date for determining the stockholders entitled to vote is less than ten (10) days before the date of the meeting, the list shall reflect the stockholders entitled to vote as of the tenth (10</w:t>
      </w:r>
      <w:r>
        <w:rPr>
          <w:rFonts w:ascii="Times New Roman" w:hAnsi="Times New Roman"/>
          <w:color w:val="000000"/>
          <w:sz w:val="16"/>
        </w:rPr>
        <w:t>th</w:t>
      </w:r>
      <w:r>
        <w:rPr>
          <w:rFonts w:ascii="Times New Roman" w:hAnsi="Times New Roman"/>
          <w:color w:val="000000"/>
          <w:sz w:val="24"/>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(a) on a reasonably accessible electronic network,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the DGCL, the stock ledger shall be the only evidence as to who are the stockholders entitled to examine the list of stockholders required by this </w:t>
      </w:r>
      <w:r>
        <w:rPr>
          <w:rFonts w:ascii="Times New Roman" w:hAnsi="Times New Roman"/>
          <w:color w:val="000000"/>
          <w:sz w:val="24"/>
          <w:u w:val="single"/>
        </w:rPr>
        <w:t>Section 5.05</w:t>
      </w:r>
      <w:r>
        <w:rPr>
          <w:rFonts w:ascii="Times New Roman" w:hAnsi="Times New Roman"/>
          <w:color w:val="000000"/>
          <w:sz w:val="20"/>
        </w:rPr>
        <w:t xml:space="preserve"> </w:t>
      </w:r>
      <w:r>
        <w:rPr>
          <w:rFonts w:ascii="Times New Roman" w:hAnsi="Times New Roman"/>
          <w:color w:val="000000"/>
          <w:sz w:val="24"/>
        </w:rPr>
        <w:t>or to vote in person or by proxy at any meeting of stockholders.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5.06 </w:t>
      </w:r>
      <w:r>
        <w:rPr>
          <w:rFonts w:ascii="Times New Roman" w:hAnsi="Times New Roman"/>
          <w:color w:val="000000"/>
          <w:sz w:val="24"/>
          <w:u w:val="single"/>
        </w:rPr>
        <w:t>Fixing Date for Determination of Stockholders of Record</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color w:val="000000"/>
          <w:sz w:val="24"/>
        </w:rPr>
        <w:t>provided, however</w:t>
      </w:r>
      <w:r>
        <w:rPr>
          <w:rFonts w:ascii="Times New Roman" w:hAnsi="Times New Roman"/>
          <w:color w:val="000000"/>
          <w:sz w:val="24"/>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Unless otherwise restricted by the Restated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5.07 </w:t>
      </w:r>
      <w:r>
        <w:rPr>
          <w:rFonts w:ascii="Times New Roman" w:hAnsi="Times New Roman"/>
          <w:color w:val="000000"/>
          <w:sz w:val="24"/>
          <w:u w:val="single"/>
        </w:rPr>
        <w:t>Registered Stockholders</w:t>
      </w:r>
      <w:r>
        <w:rPr>
          <w:rFonts w:ascii="Times New Roman" w:hAnsi="Times New Roman"/>
          <w:color w:val="000000"/>
          <w:sz w:val="24"/>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VI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and Waiver of Notice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6.01 </w:t>
      </w:r>
      <w:r>
        <w:rPr>
          <w:rFonts w:ascii="Times New Roman" w:hAnsi="Times New Roman"/>
          <w:color w:val="000000"/>
          <w:sz w:val="24"/>
          <w:u w:val="single"/>
        </w:rPr>
        <w:t>Notice</w:t>
      </w:r>
      <w:r>
        <w:rPr>
          <w:rFonts w:ascii="Times New Roman" w:hAnsi="Times New Roman"/>
          <w:color w:val="000000"/>
          <w:sz w:val="24"/>
        </w:rPr>
        <w:t>. Any notice to any stockholder under the Restated Certificate of Incorporation, these Bylaws or the DGCL shall be deemed given, if mailed, when deposited in the United States mail, postage prepaid, directed to the stockholder at such stockholder’s address as it appears on the records of the Corporation, and if given by any other form, including any form of electronic transmission, permitted by the DGCL, shall be deemed given as provided in the DGCL. Without limiting the manner by which notice otherwise may be given effectively to stockholders, any notice to stockholders may be given by electronic transmission in the manner provided in Section 232 of the DGCL.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6.02 </w:t>
      </w:r>
      <w:r>
        <w:rPr>
          <w:rFonts w:ascii="Times New Roman" w:hAnsi="Times New Roman"/>
          <w:color w:val="000000"/>
          <w:sz w:val="24"/>
          <w:u w:val="single"/>
        </w:rPr>
        <w:t>Waiver of Notice</w:t>
      </w:r>
      <w:r>
        <w:rPr>
          <w:rFonts w:ascii="Times New Roman" w:hAnsi="Times New Roman"/>
          <w:color w:val="000000"/>
          <w:sz w:val="24"/>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VII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7.01 </w:t>
      </w:r>
      <w:r>
        <w:rPr>
          <w:rFonts w:ascii="Times New Roman" w:hAnsi="Times New Roman"/>
          <w:color w:val="000000"/>
          <w:sz w:val="24"/>
          <w:u w:val="single"/>
        </w:rPr>
        <w:t>Right to Indemnification</w:t>
      </w:r>
      <w:r>
        <w:rPr>
          <w:rFonts w:ascii="Times New Roman" w:hAnsi="Times New Roman"/>
          <w:color w:val="000000"/>
          <w:sz w:val="24"/>
        </w:rPr>
        <w:t>. Each person who was or is made a party or is threatened to be made a party to or is otherwise involved in any action, suit or proceeding, whether civil, criminal, administrative or investigative (hereinafter a “</w:t>
      </w:r>
      <w:r>
        <w:rPr>
          <w:rFonts w:ascii="Times New Roman" w:hAnsi="Times New Roman"/>
          <w:color w:val="000000"/>
          <w:sz w:val="24"/>
          <w:u w:val="single"/>
        </w:rPr>
        <w:t>proceeding</w:t>
      </w:r>
      <w:r>
        <w:rPr>
          <w:rFonts w:ascii="Times New Roman" w:hAnsi="Times New Roman"/>
          <w:color w:val="000000"/>
          <w:sz w:val="20"/>
        </w:rPr>
        <w:t>”</w:t>
      </w:r>
      <w:r>
        <w:rPr>
          <w:rFonts w:ascii="Times New Roman" w:hAnsi="Times New Roman"/>
          <w:color w:val="000000"/>
          <w:sz w:val="24"/>
        </w:rPr>
        <w:t>), by reason of the fact that such person is or was a director or an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hAnsi="Times New Roman"/>
          <w:color w:val="000000"/>
          <w:sz w:val="24"/>
          <w:u w:val="single"/>
        </w:rPr>
        <w:t>indemnitee</w:t>
      </w:r>
      <w:r>
        <w:rPr>
          <w:rFonts w:ascii="Times New Roman" w:hAnsi="Times New Roman"/>
          <w:color w:val="000000"/>
          <w:sz w:val="20"/>
        </w:rPr>
        <w:t>”</w:t>
      </w:r>
      <w:r>
        <w:rPr>
          <w:rFonts w:ascii="Times New Roman" w:hAnsi="Times New Roman"/>
          <w:color w:val="000000"/>
          <w:sz w:val="24"/>
        </w:rPr>
        <w:t>),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amounts paid in settlement) actually and reasonably incurred or suffered by such indemnitee in connection therewith;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except as provided in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Any reference to an officer of the Corporation in this Article VII shall be deemed to refer exclusively to the Chief Executive Officer, President, Chief Financial Officer, Chief Operating Officer, Treasurer, General Counsel and Secretary of the Corporation appointed pursuant to Article IV of these Bylaws, and to any Vice President, Assistant Secretary, Assistant Treasurer or other officer of the Corporation appointed by the Board of Directors pursuant to Article IV of these Bylaws, including, without limitation, any “</w:t>
      </w:r>
      <w:r>
        <w:rPr>
          <w:rFonts w:ascii="Times New Roman" w:hAnsi="Times New Roman"/>
          <w:color w:val="000000"/>
          <w:sz w:val="24"/>
          <w:u w:val="single"/>
        </w:rPr>
        <w:t>executive officer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Section 16 officer</w:t>
      </w:r>
      <w:r>
        <w:rPr>
          <w:rFonts w:ascii="Times New Roman" w:hAnsi="Times New Roman"/>
          <w:color w:val="000000"/>
          <w:sz w:val="24"/>
        </w:rPr>
        <w:t>,”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pStyle w:val="TextBody"/>
        <w:bidi w:val="0"/>
        <w:spacing w:before="240" w:after="283"/>
        <w:jc w:val="left"/>
        <w:rPr>
          <w:rFonts w:ascii="Times New Roman" w:hAnsi="Times New Roman"/>
          <w:sz w:val="20"/>
        </w:rPr>
      </w:pPr>
      <w:r>
        <w:rPr>
          <w:rFonts w:ascii="Times New Roman" w:hAnsi="Times New Roman"/>
          <w:color w:val="000000"/>
          <w:sz w:val="24"/>
        </w:rPr>
        <w:t>Any person serving as a director, officer, partner, member, trustee, administrator, employee, member, manager, or agent of another corporation, partnership, limited liability company, joint venture, trust or other enterprise, at least 50% of whose equity interests are owned by the Corporation (a “</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for purposes of this Article VII) shall be conclusively presumed to be serving in such capacity at the request of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7.02 </w:t>
      </w:r>
      <w:r>
        <w:rPr>
          <w:rFonts w:ascii="Times New Roman" w:hAnsi="Times New Roman"/>
          <w:color w:val="000000"/>
          <w:sz w:val="24"/>
          <w:u w:val="single"/>
        </w:rPr>
        <w:t>Right to Advancement of Expenses</w:t>
      </w:r>
      <w:r>
        <w:rPr>
          <w:rFonts w:ascii="Times New Roman" w:hAnsi="Times New Roman"/>
          <w:color w:val="000000"/>
          <w:sz w:val="24"/>
        </w:rPr>
        <w:t xml:space="preserve">. In addition to the right to indemnification conferred in </w:t>
      </w:r>
      <w:r>
        <w:rPr>
          <w:rFonts w:ascii="Times New Roman" w:hAnsi="Times New Roman"/>
          <w:color w:val="000000"/>
          <w:sz w:val="24"/>
          <w:u w:val="single"/>
        </w:rPr>
        <w:t>Section 7.01</w:t>
      </w:r>
      <w:r>
        <w:rPr>
          <w:rFonts w:ascii="Times New Roman" w:hAnsi="Times New Roman"/>
          <w:color w:val="000000"/>
          <w:sz w:val="24"/>
        </w:rPr>
        <w:t xml:space="preserve">, an indemnitee shall also have the right to be paid by the Corporation the expenses (including attorney’s fees) incurred by the indemnitee in appearing at, participating in or defending any such proceeding in advance of its final disposition or in connection with a proceeding brought to establish or enforce a right to indemnification or advancement of expenses under this Article VII (which shall be governed by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(hereinafter an “</w:t>
      </w:r>
      <w:r>
        <w:rPr>
          <w:rFonts w:ascii="Times New Roman" w:hAnsi="Times New Roman"/>
          <w:color w:val="000000"/>
          <w:sz w:val="24"/>
          <w:u w:val="single"/>
        </w:rPr>
        <w:t>advancement of expenses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the DGCL requires or in the case of an advancement of expenses made in a proceeding brought to establish or enforce a right to indemnification or advancement of expenses, an advancement of expenses incurred by an indemnitee pursuant to this </w:t>
      </w:r>
      <w:r>
        <w:rPr>
          <w:rFonts w:ascii="Times New Roman" w:hAnsi="Times New Roman"/>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in such indemnitee’s capacity as a director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hAnsi="Times New Roman"/>
          <w:color w:val="000000"/>
          <w:sz w:val="24"/>
          <w:u w:val="single"/>
        </w:rPr>
        <w:t>undertaking</w:t>
      </w:r>
      <w:r>
        <w:rPr>
          <w:rFonts w:ascii="Times New Roman" w:hAnsi="Times New Roman"/>
          <w:color w:val="000000"/>
          <w:sz w:val="20"/>
        </w:rPr>
        <w:t>”</w:t>
      </w:r>
      <w:r>
        <w:rPr>
          <w:rFonts w:ascii="Times New Roman" w:hAnsi="Times New Roman"/>
          <w:color w:val="000000"/>
          <w:sz w:val="24"/>
        </w:rPr>
        <w:t>), by or on behalf of such indemnitee, to repay all amounts so advanced if it shall ultimately be determined by final judicial decision from which there is no further right to appeal (hereinafter a “</w:t>
      </w:r>
      <w:r>
        <w:rPr>
          <w:rFonts w:ascii="Times New Roman" w:hAnsi="Times New Roman"/>
          <w:color w:val="000000"/>
          <w:sz w:val="24"/>
          <w:u w:val="single"/>
        </w:rPr>
        <w:t>final adjudication</w:t>
      </w:r>
      <w:r>
        <w:rPr>
          <w:rFonts w:ascii="Times New Roman" w:hAnsi="Times New Roman"/>
          <w:color w:val="000000"/>
          <w:sz w:val="20"/>
        </w:rPr>
        <w:t>”</w:t>
      </w:r>
      <w:r>
        <w:rPr>
          <w:rFonts w:ascii="Times New Roman" w:hAnsi="Times New Roman"/>
          <w:color w:val="000000"/>
          <w:sz w:val="24"/>
        </w:rPr>
        <w:t xml:space="preserve">) that such indemnitee is not entitled to be indemnified or entitled to advancement of expenses under </w:t>
      </w:r>
      <w:r>
        <w:rPr>
          <w:rFonts w:ascii="Times New Roman" w:hAnsi="Times New Roman"/>
          <w:color w:val="000000"/>
          <w:sz w:val="24"/>
          <w:u w:val="single"/>
        </w:rPr>
        <w:t>Sections 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or otherwise.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7.03 </w:t>
      </w:r>
      <w:r>
        <w:rPr>
          <w:rFonts w:ascii="Times New Roman" w:hAnsi="Times New Roman"/>
          <w:color w:val="000000"/>
          <w:sz w:val="24"/>
          <w:u w:val="single"/>
        </w:rPr>
        <w:t>Right of Indemnitee to Bring Suit</w:t>
      </w:r>
      <w:r>
        <w:rPr>
          <w:rFonts w:ascii="Times New Roman" w:hAnsi="Times New Roman"/>
          <w:color w:val="000000"/>
          <w:sz w:val="24"/>
        </w:rPr>
        <w:t xml:space="preserve">. If a claim under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is not paid in full by the Corporation within (i) ninety (90) days after a written claim for indemnification has been received by the Corporation or (ii) thirty (30) days after a claim for an advancement of expenses has been received by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7.04 </w:t>
      </w:r>
      <w:r>
        <w:rPr>
          <w:rFonts w:ascii="Times New Roman" w:hAnsi="Times New Roman"/>
          <w:color w:val="000000"/>
          <w:sz w:val="24"/>
          <w:u w:val="single"/>
        </w:rPr>
        <w:t>Indemnification Not Exclusive</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provision of indemnification to or the advancement of expenses to any indemnitee under this Article VII, or the entitlement of any indemnitee to indemnification or advancement of expenses under this Article VII, shall not limit or restrict in any way the power of the Corporation to indemnify or advance expenses to such indemnitee in any other way permitted by law or be deemed exclusive of, or invalidate, any right to which any indemnitee seeking indemnification or advancement of expenses may be entitled under any law, agreement, vote of stockholders or disinterested directors or otherwise, both as to action in such indemnitee’s capacity as an officer, director, employee or agent of the Corporation and as to action in any other capacity.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Restated Certificate of Incorporation or these Bylaws of the Corporation (or any other agreement between the Corporation and such persons,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rFonts w:ascii="Times New Roman" w:hAnsi="Times New Roman"/>
          <w:color w:val="000000"/>
          <w:sz w:val="24"/>
        </w:rPr>
        <w:t xml:space="preserve">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hAnsi="Times New Roman"/>
          <w:color w:val="000000"/>
          <w:sz w:val="24"/>
          <w:u w:val="single"/>
        </w:rPr>
        <w:t>Section 7.04(B)</w:t>
      </w:r>
      <w:r>
        <w:rPr>
          <w:color w:val="000000"/>
        </w:rPr>
        <w:t xml:space="preserve"> </w:t>
      </w:r>
      <w:r>
        <w:rPr>
          <w:rFonts w:ascii="Times New Roman" w:hAnsi="Times New Roman"/>
          <w:color w:val="000000"/>
          <w:sz w:val="24"/>
        </w:rPr>
        <w:t xml:space="preserve">of Article VII, entitled to enforce this </w:t>
      </w:r>
      <w:r>
        <w:rPr>
          <w:rFonts w:ascii="Times New Roman" w:hAnsi="Times New Roman"/>
          <w:color w:val="000000"/>
          <w:sz w:val="24"/>
          <w:u w:val="single"/>
        </w:rPr>
        <w:t>Section 7.04(B)</w:t>
      </w:r>
      <w:r>
        <w:rPr>
          <w:color w:val="000000"/>
        </w:rPr>
        <w:t xml:space="preserve"> </w:t>
      </w:r>
      <w:r>
        <w:rPr>
          <w:rFonts w:ascii="Times New Roman" w:hAnsi="Times New Roman"/>
          <w:color w:val="000000"/>
          <w:sz w:val="24"/>
        </w:rPr>
        <w:t>of Article VII.</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For purposes of this </w:t>
      </w:r>
      <w:r>
        <w:rPr>
          <w:rFonts w:ascii="Times New Roman" w:hAnsi="Times New Roman"/>
          <w:color w:val="000000"/>
          <w:sz w:val="24"/>
          <w:u w:val="single"/>
        </w:rPr>
        <w:t>Section 7.04(B)</w:t>
      </w:r>
      <w:r>
        <w:rPr>
          <w:rFonts w:ascii="Times New Roman" w:hAnsi="Times New Roman"/>
          <w:color w:val="000000"/>
          <w:sz w:val="20"/>
        </w:rPr>
        <w:t xml:space="preserve"> </w:t>
      </w:r>
      <w:r>
        <w:rPr>
          <w:rFonts w:ascii="Times New Roman" w:hAnsi="Times New Roman"/>
          <w:color w:val="000000"/>
          <w:sz w:val="24"/>
        </w:rPr>
        <w:t>of Article VII, the following terms shall have the following meanings: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rPr>
        <w:t>The term “</w:t>
      </w:r>
      <w:r>
        <w:rPr>
          <w:rFonts w:ascii="Times New Roman" w:hAnsi="Times New Roman"/>
          <w:color w:val="000000"/>
          <w:sz w:val="24"/>
          <w:u w:val="single"/>
        </w:rPr>
        <w:t>indemnitee-related entities</w:t>
      </w:r>
      <w:r>
        <w:rPr>
          <w:color w:val="000000"/>
        </w:rPr>
        <w:t xml:space="preserve">” </w:t>
      </w:r>
      <w:r>
        <w:rPr>
          <w:rFonts w:ascii="Times New Roman" w:hAnsi="Times New Roman"/>
          <w:color w:val="000000"/>
          <w:sz w:val="24"/>
        </w:rPr>
        <w:t>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rPr>
        <w:t>The term “</w:t>
      </w:r>
      <w:r>
        <w:rPr>
          <w:rFonts w:ascii="Times New Roman" w:hAnsi="Times New Roman"/>
          <w:color w:val="000000"/>
          <w:sz w:val="24"/>
          <w:u w:val="single"/>
        </w:rPr>
        <w:t>jointly indemnifiable claims</w:t>
      </w:r>
      <w:r>
        <w:rPr>
          <w:color w:val="000000"/>
        </w:rPr>
        <w:t xml:space="preserve">” </w:t>
      </w:r>
      <w:r>
        <w:rPr>
          <w:rFonts w:ascii="Times New Roman" w:hAnsi="Times New Roman"/>
          <w:color w:val="000000"/>
          <w:sz w:val="24"/>
        </w:rPr>
        <w:t>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7.05 </w:t>
      </w:r>
      <w:r>
        <w:rPr>
          <w:rFonts w:ascii="Times New Roman" w:hAnsi="Times New Roman"/>
          <w:color w:val="000000"/>
          <w:sz w:val="24"/>
          <w:u w:val="single"/>
        </w:rPr>
        <w:t>Corporate Obligations; Reliance</w:t>
      </w:r>
      <w:r>
        <w:rPr>
          <w:rFonts w:ascii="Times New Roman" w:hAnsi="Times New Roman"/>
          <w:color w:val="000000"/>
          <w:sz w:val="24"/>
        </w:rPr>
        <w:t>. The rights granted pursuant to the provisions of this Article VII shall vest at the time a person becomes a director or officer of the Corporation entitled to such rights and shall be deemed to create a binding contractual obligation on the part of the Corporation to the persons who from time to time are elected as officers or directors of the Corporation entitled to such rights,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7.06 </w:t>
      </w:r>
      <w:r>
        <w:rPr>
          <w:rFonts w:ascii="Times New Roman" w:hAnsi="Times New Roman"/>
          <w:color w:val="000000"/>
          <w:sz w:val="24"/>
          <w:u w:val="single"/>
        </w:rPr>
        <w:t>Insurance</w:t>
      </w:r>
      <w:r>
        <w:rPr>
          <w:rFonts w:ascii="Times New Roman" w:hAnsi="Times New Roman"/>
          <w:color w:val="000000"/>
          <w:sz w:val="24"/>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7.07 </w:t>
      </w:r>
      <w:r>
        <w:rPr>
          <w:rFonts w:ascii="Times New Roman" w:hAnsi="Times New Roman"/>
          <w:color w:val="000000"/>
          <w:sz w:val="24"/>
          <w:u w:val="single"/>
        </w:rPr>
        <w:t>Indemnification of Employees and Agents of the Corporation and Others</w:t>
      </w:r>
      <w:r>
        <w:rPr>
          <w:rFonts w:ascii="Times New Roman" w:hAnsi="Times New Roman"/>
          <w:color w:val="000000"/>
          <w:sz w:val="24"/>
        </w:rPr>
        <w:t>. The Corporation may, to the extent authorized from time to time by the Board of Directors, grant rights to indemnification and to the advancement of expenses to any employee or agent of the Corporation and to any person (in addition to an indemnitee) serving at the request of the Corporation as an officer, director, employee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or agent of any other enterprise to the fullest extent of the provisions of this Article VII with respect to the indemnification and advancement of expenses of indemnitees hereunder.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7.08 </w:t>
      </w:r>
      <w:r>
        <w:rPr>
          <w:rFonts w:ascii="Times New Roman" w:hAnsi="Times New Roman"/>
          <w:color w:val="000000"/>
          <w:sz w:val="24"/>
          <w:u w:val="single"/>
        </w:rPr>
        <w:t>Savings Clause</w:t>
      </w:r>
      <w:r>
        <w:rPr>
          <w:rFonts w:ascii="Times New Roman" w:hAnsi="Times New Roman"/>
          <w:color w:val="000000"/>
          <w:sz w:val="24"/>
        </w:rPr>
        <w:t>. To the fullest extent permitted by law, if this Article VII or any portion hereof shall be invalidated on any ground by any court of competent jurisdiction, then the Corporation shall nevertheless indemnify and advance expenses to each person entitled to indemnification under this Article VII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advancement of expenses is available to such person pursuant to this Article VII to the fullest extent permitted by any applicable portion of this Article VII that shall not have been invalidated.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VIII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Miscellaneous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8.01 </w:t>
      </w:r>
      <w:r>
        <w:rPr>
          <w:rFonts w:ascii="Times New Roman" w:hAnsi="Times New Roman"/>
          <w:color w:val="000000"/>
          <w:sz w:val="24"/>
          <w:u w:val="single"/>
        </w:rPr>
        <w:t>Electronic Transmission</w:t>
      </w:r>
      <w:r>
        <w:rPr>
          <w:rFonts w:ascii="Times New Roman" w:hAnsi="Times New Roman"/>
          <w:color w:val="000000"/>
          <w:sz w:val="24"/>
        </w:rPr>
        <w:t>. For purposes of these Bylaws, “</w:t>
      </w:r>
      <w:r>
        <w:rPr>
          <w:rFonts w:ascii="Times New Roman" w:hAnsi="Times New Roman"/>
          <w:color w:val="000000"/>
          <w:sz w:val="24"/>
          <w:u w:val="single"/>
        </w:rPr>
        <w:t>electronic transmission</w:t>
      </w:r>
      <w:r>
        <w:rPr>
          <w:rFonts w:ascii="Times New Roman" w:hAnsi="Times New Roman"/>
          <w:color w:val="000000"/>
          <w:sz w:val="20"/>
        </w:rPr>
        <w:t xml:space="preserve">” </w:t>
      </w:r>
      <w:r>
        <w:rPr>
          <w:rFonts w:ascii="Times New Roman" w:hAnsi="Times New Roman"/>
          <w:color w:val="000000"/>
          <w:sz w:val="24"/>
        </w:rPr>
        <w:t>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8.02 </w:t>
      </w:r>
      <w:r>
        <w:rPr>
          <w:rFonts w:ascii="Times New Roman" w:hAnsi="Times New Roman"/>
          <w:color w:val="000000"/>
          <w:sz w:val="24"/>
          <w:u w:val="single"/>
        </w:rPr>
        <w:t>Corporate Seal</w:t>
      </w:r>
      <w:r>
        <w:rPr>
          <w:rFonts w:ascii="Times New Roman" w:hAnsi="Times New Roman"/>
          <w:color w:val="000000"/>
          <w:sz w:val="24"/>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8.03 </w:t>
      </w:r>
      <w:r>
        <w:rPr>
          <w:rFonts w:ascii="Times New Roman" w:hAnsi="Times New Roman"/>
          <w:color w:val="000000"/>
          <w:sz w:val="24"/>
          <w:u w:val="single"/>
        </w:rPr>
        <w:t>Fiscal Year</w:t>
      </w:r>
      <w:r>
        <w:rPr>
          <w:rFonts w:ascii="Times New Roman" w:hAnsi="Times New Roman"/>
          <w:color w:val="000000"/>
          <w:sz w:val="24"/>
        </w:rPr>
        <w:t>. The fiscal year of the Corporation shall end on December 31, or such other day as the Board of Directors may designate.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8.04 </w:t>
      </w:r>
      <w:r>
        <w:rPr>
          <w:rFonts w:ascii="Times New Roman" w:hAnsi="Times New Roman"/>
          <w:color w:val="000000"/>
          <w:sz w:val="24"/>
          <w:u w:val="single"/>
        </w:rPr>
        <w:t>Section Headings</w:t>
      </w:r>
      <w:r>
        <w:rPr>
          <w:rFonts w:ascii="Times New Roman" w:hAnsi="Times New Roman"/>
          <w:color w:val="000000"/>
          <w:sz w:val="24"/>
        </w:rPr>
        <w:t>. Section headings in these Bylaws are for convenience of reference only and shall not be given any substantive effect in limiting or otherwise construing any provision herein.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8.05 </w:t>
      </w:r>
      <w:r>
        <w:rPr>
          <w:rFonts w:ascii="Times New Roman" w:hAnsi="Times New Roman"/>
          <w:color w:val="000000"/>
          <w:sz w:val="24"/>
          <w:u w:val="single"/>
        </w:rPr>
        <w:t>Inconsistent Provisions</w:t>
      </w:r>
      <w:r>
        <w:rPr>
          <w:rFonts w:ascii="Times New Roman" w:hAnsi="Times New Roman"/>
          <w:color w:val="000000"/>
          <w:sz w:val="24"/>
        </w:rPr>
        <w:t>. In the event that any provision of these Bylaws is or becomes inconsistent with any provision of the Restated Certificate of Incorporation, the DGCL or any other applicable law, such provision of these Bylaws shall not be given any effect to the extent of such inconsistency but shall otherwise be given full force and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IX</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Amendments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9.01 </w:t>
      </w:r>
      <w:r>
        <w:rPr>
          <w:rFonts w:ascii="Times New Roman" w:hAnsi="Times New Roman"/>
          <w:color w:val="000000"/>
          <w:sz w:val="24"/>
          <w:u w:val="single"/>
        </w:rPr>
        <w:t>Amendments</w:t>
      </w:r>
      <w:r>
        <w:rPr>
          <w:rFonts w:ascii="Times New Roman" w:hAnsi="Times New Roman"/>
          <w:color w:val="000000"/>
          <w:sz w:val="24"/>
        </w:rPr>
        <w:t>. The Board of Directors is expressly authorized to make, alter, amend, change, add to, rescind or repeal, in whole or in part, these Bylaws without the assent or vote of the stockholders in any manner not inconsistent with the laws of the State of Delaware or the Restated Certificate of Incorporation. Stockholders may also amend the Bylaws as provided in the DGCL and the Restated Certificate of Incorporation.</w:t>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8" w:name="iron-ex10_1.htm"/>
      <w:bookmarkStart w:id="9" w:name="ksironex10_1"/>
      <w:bookmarkEnd w:id="8"/>
      <w:bookmarkEnd w:id="9"/>
      <w:r>
        <w:rPr>
          <w:rFonts w:ascii="Times New Roman" w:hAnsi="Times New Roman"/>
          <w:b/>
          <w:color w:val="000000"/>
          <w:sz w:val="24"/>
        </w:rPr>
        <w:t>Exhibit 10.1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REGISTRATION RIGHTS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Registration Rights Agreement (as amended from time to time, this “</w:t>
      </w:r>
      <w:r>
        <w:rPr>
          <w:rFonts w:ascii="Times New Roman" w:hAnsi="Times New Roman"/>
          <w:b/>
          <w:color w:val="000000"/>
          <w:sz w:val="24"/>
          <w:u w:val="single"/>
        </w:rPr>
        <w:t>Agreement</w:t>
      </w:r>
      <w:r>
        <w:rPr>
          <w:rFonts w:ascii="Times New Roman" w:hAnsi="Times New Roman"/>
          <w:color w:val="000000"/>
          <w:sz w:val="20"/>
        </w:rPr>
        <w:t>”</w:t>
      </w:r>
      <w:r>
        <w:rPr>
          <w:rFonts w:ascii="Times New Roman" w:hAnsi="Times New Roman"/>
          <w:color w:val="000000"/>
          <w:sz w:val="24"/>
        </w:rPr>
        <w:t>) is dated as of June 3, 2026 and is between Liftoff Mobile, Inc., a Delaware corporation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BCP Redbird Aggregator L.P. and its related vehicles (“</w:t>
      </w:r>
      <w:r>
        <w:rPr>
          <w:rFonts w:ascii="Times New Roman" w:hAnsi="Times New Roman"/>
          <w:b/>
          <w:color w:val="000000"/>
          <w:sz w:val="24"/>
          <w:u w:val="single"/>
        </w:rPr>
        <w:t>Blackstone</w:t>
      </w:r>
      <w:r>
        <w:rPr>
          <w:rFonts w:ascii="Times New Roman" w:hAnsi="Times New Roman"/>
          <w:color w:val="000000"/>
          <w:sz w:val="20"/>
        </w:rPr>
        <w:t>”</w:t>
      </w:r>
      <w:r>
        <w:rPr>
          <w:rFonts w:ascii="Times New Roman" w:hAnsi="Times New Roman"/>
          <w:color w:val="000000"/>
          <w:sz w:val="24"/>
        </w:rPr>
        <w:t>), the Founders (as defined below) and General Atlantic (LFT), L.P., a Delaware limited partnership (“</w:t>
      </w:r>
      <w:r>
        <w:rPr>
          <w:rFonts w:ascii="Times New Roman" w:hAnsi="Times New Roman"/>
          <w:b/>
          <w:color w:val="000000"/>
          <w:sz w:val="24"/>
          <w:u w:val="single"/>
        </w:rPr>
        <w:t>General Atlantic</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spacing w:before="0" w:after="240"/>
        <w:jc w:val="left"/>
        <w:rPr>
          <w:rFonts w:ascii="Times New Roman" w:hAnsi="Times New Roman"/>
          <w:sz w:val="20"/>
        </w:rPr>
      </w:pPr>
      <w:r>
        <w:rPr>
          <w:rFonts w:ascii="Times New Roman" w:hAnsi="Times New Roman"/>
          <w:color w:val="000000"/>
          <w:sz w:val="24"/>
        </w:rPr>
        <w:t>WHEREAS, the Company, Blackstone and the Founders entered into that certain Registration Rights Agreement, dated as of March 17, 2021 (the “</w:t>
      </w:r>
      <w:r>
        <w:rPr>
          <w:rFonts w:ascii="Times New Roman" w:hAnsi="Times New Roman"/>
          <w:color w:val="000000"/>
          <w:sz w:val="24"/>
          <w:u w:val="single"/>
        </w:rPr>
        <w:t>Existing Registration Rights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the initial public offering of the Company, each of the Company and Blackstone has agreed to amend the Existing Registration Rights Agreement as set forth in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WHEREAS, pursuant to </w:t>
      </w:r>
      <w:r>
        <w:rPr>
          <w:rFonts w:ascii="Times New Roman" w:hAnsi="Times New Roman"/>
          <w:color w:val="000000"/>
          <w:sz w:val="24"/>
          <w:u w:val="single"/>
        </w:rPr>
        <w:t>Section 7.6</w:t>
      </w:r>
      <w:r>
        <w:rPr>
          <w:rFonts w:ascii="Times New Roman" w:hAnsi="Times New Roman"/>
          <w:color w:val="000000"/>
          <w:sz w:val="20"/>
        </w:rPr>
        <w:t xml:space="preserve"> </w:t>
      </w:r>
      <w:r>
        <w:rPr>
          <w:rFonts w:ascii="Times New Roman" w:hAnsi="Times New Roman"/>
          <w:color w:val="000000"/>
          <w:sz w:val="24"/>
        </w:rPr>
        <w:t>of the Existing Registration Rights Agreement, the Existing Registration Rights Agreement may be amended by an instrument in writing executed by the Company and the Blackstone Stockholders holding a majority of the shares collectively held by them, and therefore this Agreement shall be effective with respect to the Company, Blackstone and the Founders upon signature by the Company and Blackstone;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WHEREAS, this Agreement shall be effective with respect to General Atlantic upon signature by General Atlantic.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foregoing and for other good and valuable consideration, the Company, Blackstone, the Founders and General Atlantic agree as follows:</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this Agreement:</w:t>
      </w:r>
    </w:p>
    <w:p>
      <w:pPr>
        <w:pStyle w:val="TextBody"/>
        <w:bidi w:val="0"/>
        <w:spacing w:before="0" w:after="240"/>
        <w:jc w:val="left"/>
        <w:rPr/>
      </w:pPr>
      <w:r>
        <w:rPr>
          <w:color w:val="000000"/>
        </w:rPr>
        <w:t>“</w:t>
      </w:r>
      <w:r>
        <w:rPr>
          <w:rFonts w:ascii="Times New Roman" w:hAnsi="Times New Roman"/>
          <w:b/>
          <w:color w:val="000000"/>
          <w:sz w:val="24"/>
          <w:u w:val="single"/>
        </w:rPr>
        <w:t>Blackstone Stockholders</w:t>
      </w:r>
      <w:r>
        <w:rPr>
          <w:rFonts w:ascii="Times New Roman" w:hAnsi="Times New Roman"/>
          <w:color w:val="000000"/>
          <w:sz w:val="20"/>
        </w:rPr>
        <w:t xml:space="preserve">” </w:t>
      </w:r>
      <w:r>
        <w:rPr>
          <w:rFonts w:ascii="Times New Roman" w:hAnsi="Times New Roman"/>
          <w:color w:val="000000"/>
          <w:sz w:val="24"/>
        </w:rPr>
        <w:t>means collectively, Blackstone and each transferee to whom it transfers shares and related rights under this Agreement in accordance with Section 6.1, and individually, a “</w:t>
      </w:r>
      <w:r>
        <w:rPr>
          <w:rFonts w:ascii="Times New Roman" w:hAnsi="Times New Roman"/>
          <w:b/>
          <w:color w:val="000000"/>
          <w:sz w:val="24"/>
          <w:u w:val="single"/>
        </w:rPr>
        <w:t>Blackstone Stockholder</w:t>
      </w:r>
      <w:r>
        <w:rPr>
          <w:rFonts w:ascii="Times New Roman" w:hAnsi="Times New Roman"/>
          <w:color w:val="000000"/>
          <w:sz w:val="20"/>
        </w:rPr>
        <w:t>”</w:t>
      </w:r>
      <w:r>
        <w:rPr>
          <w:rFonts w:ascii="Times New Roman" w:hAnsi="Times New Roman"/>
          <w:color w:val="000000"/>
          <w:sz w:val="24"/>
        </w:rPr>
        <w:t>. References to a Blackstone Stockholder include all of its affiliated private equity funds, co-invest and side-by-side entities, and other affiliated investment vehicles that hold shares.</w:t>
      </w:r>
    </w:p>
    <w:p>
      <w:pPr>
        <w:pStyle w:val="TextBody"/>
        <w:bidi w:val="0"/>
        <w:spacing w:before="0" w:after="240"/>
        <w:jc w:val="left"/>
        <w:rPr/>
      </w:pPr>
      <w:r>
        <w:rPr>
          <w:color w:val="000000"/>
        </w:rPr>
        <w:t>“</w:t>
      </w:r>
      <w:r>
        <w:rPr>
          <w:rFonts w:ascii="Times New Roman" w:hAnsi="Times New Roman"/>
          <w:b/>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a Sunday, or a holiday on which national banking associations in the State of New York are authorized by law to close.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pPr>
      <w:r>
        <w:rPr>
          <w:color w:val="000000"/>
        </w:rPr>
        <w:t>“</w:t>
      </w:r>
      <w:r>
        <w:rPr>
          <w:rFonts w:ascii="Times New Roman" w:hAnsi="Times New Roman"/>
          <w:b/>
          <w:color w:val="000000"/>
          <w:sz w:val="24"/>
          <w:u w:val="single"/>
        </w:rPr>
        <w:t>Derivative Counterparty</w:t>
      </w:r>
      <w:r>
        <w:rPr>
          <w:rFonts w:ascii="Times New Roman" w:hAnsi="Times New Roman"/>
          <w:color w:val="000000"/>
          <w:sz w:val="20"/>
        </w:rPr>
        <w:t xml:space="preserve">” </w:t>
      </w:r>
      <w:r>
        <w:rPr>
          <w:rFonts w:ascii="Times New Roman" w:hAnsi="Times New Roman"/>
          <w:color w:val="000000"/>
          <w:sz w:val="24"/>
        </w:rPr>
        <w:t>means a broker-dealer registered under Section 15(b) of the Exchange Act, any other financial institution, or an affiliate thereof, that enters into a Derivative Transaction with a Stockholder.</w:t>
      </w:r>
    </w:p>
    <w:p>
      <w:pPr>
        <w:pStyle w:val="TextBody"/>
        <w:bidi w:val="0"/>
        <w:spacing w:before="0" w:after="240"/>
        <w:jc w:val="left"/>
        <w:rPr/>
      </w:pPr>
      <w:r>
        <w:rPr>
          <w:color w:val="000000"/>
        </w:rPr>
        <w:t>“</w:t>
      </w:r>
      <w:r>
        <w:rPr>
          <w:rFonts w:ascii="Times New Roman" w:hAnsi="Times New Roman"/>
          <w:b/>
          <w:color w:val="000000"/>
          <w:sz w:val="24"/>
          <w:u w:val="single"/>
        </w:rPr>
        <w:t>Derivative Transaction</w:t>
      </w:r>
      <w:r>
        <w:rPr>
          <w:rFonts w:ascii="Times New Roman" w:hAnsi="Times New Roman"/>
          <w:color w:val="000000"/>
          <w:sz w:val="20"/>
        </w:rPr>
        <w:t xml:space="preserve">” </w:t>
      </w:r>
      <w:r>
        <w:rPr>
          <w:rFonts w:ascii="Times New Roman" w:hAnsi="Times New Roman"/>
          <w:color w:val="000000"/>
          <w:sz w:val="24"/>
        </w:rPr>
        <w:t>means any transaction which transfers some or all of the economic risk of ownership of the shares, including, without limitation, any forward contract, variable prepaid forward, contingent forward, equity swap, put or call, put or call equivalent position, collar, non-recourse loan, sale of an exchangeable security or any similar transaction that references the shares. For the avoidance of doubt, the following transactions shall be deemed to be Derivative Transactions: (i) transactions by a Stockholder in which a Derivative Counterparty engages in short sales of shares pursuant to a prospectus and may use shares beneficially owned by the Stockholder to close out its short position, or in which the Derivative Counterparty uses shares beneficially owned by the Stockholder to settle its initial hedging sales; (ii) transactions pursuant to which a Stockholder engages in a short sale of shares pursuant to a prospectus and delivers shares beneficially owned by the Stockholder to close out its short position; (iii) transactions by a Stockholder in which the Stockholder delivers, in a transaction exempt from registration under the Securities Act, shares to the Derivative Counterparty who then publicly resells or otherwise transfers such shares pursuant to a prospectus or an exemption from registration under the Securities Act; (iv) a loan or pledge of shares to a Derivative Counterparty who may then become a selling stockholder and sell the loaned shares or, in an event of default in the case of a pledge, sell the pledged shares, in each case, in a public transaction pursuant to a prospectus and (v) any other transaction with respect to the shares intended to be effected as contemplated by the Interpretive Letters.</w:t>
      </w:r>
    </w:p>
    <w:p>
      <w:pPr>
        <w:pStyle w:val="TextBody"/>
        <w:bidi w:val="0"/>
        <w:spacing w:before="0" w:after="240"/>
        <w:jc w:val="left"/>
        <w:rPr/>
      </w:pPr>
      <w:r>
        <w:rPr>
          <w:color w:val="000000"/>
        </w:rPr>
        <w:t>“</w:t>
      </w:r>
      <w:r>
        <w:rPr>
          <w:rFonts w:ascii="Times New Roman" w:hAnsi="Times New Roman"/>
          <w:b/>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left"/>
        <w:rPr/>
      </w:pPr>
      <w:r>
        <w:rPr>
          <w:color w:val="000000"/>
        </w:rPr>
        <w:t>“</w:t>
      </w:r>
      <w:r>
        <w:rPr>
          <w:rFonts w:ascii="Times New Roman" w:hAnsi="Times New Roman"/>
          <w:b/>
          <w:color w:val="000000"/>
          <w:sz w:val="24"/>
          <w:u w:val="single"/>
        </w:rPr>
        <w:t>Founder</w:t>
      </w:r>
      <w:r>
        <w:rPr>
          <w:rFonts w:ascii="Times New Roman" w:hAnsi="Times New Roman"/>
          <w:color w:val="000000"/>
          <w:sz w:val="20"/>
        </w:rPr>
        <w:t xml:space="preserve">” </w:t>
      </w:r>
      <w:r>
        <w:rPr>
          <w:rFonts w:ascii="Times New Roman" w:hAnsi="Times New Roman"/>
          <w:color w:val="000000"/>
          <w:sz w:val="24"/>
        </w:rPr>
        <w:t>means each of Mark Ellis, Phil Crosby and Harry Robertson.</w:t>
      </w:r>
    </w:p>
    <w:p>
      <w:pPr>
        <w:pStyle w:val="TextBody"/>
        <w:bidi w:val="0"/>
        <w:spacing w:before="0" w:after="240"/>
        <w:jc w:val="left"/>
        <w:rPr/>
      </w:pPr>
      <w:r>
        <w:rPr>
          <w:color w:val="000000"/>
        </w:rPr>
        <w:t>“</w:t>
      </w:r>
      <w:r>
        <w:rPr>
          <w:rFonts w:ascii="Times New Roman" w:hAnsi="Times New Roman"/>
          <w:b/>
          <w:color w:val="000000"/>
          <w:sz w:val="24"/>
          <w:u w:val="single"/>
        </w:rPr>
        <w:t>Founder Majority Holders</w:t>
      </w:r>
      <w:r>
        <w:rPr>
          <w:rFonts w:ascii="Times New Roman" w:hAnsi="Times New Roman"/>
          <w:color w:val="000000"/>
          <w:sz w:val="20"/>
        </w:rPr>
        <w:t xml:space="preserve">” </w:t>
      </w:r>
      <w:r>
        <w:rPr>
          <w:rFonts w:ascii="Times New Roman" w:hAnsi="Times New Roman"/>
          <w:color w:val="000000"/>
          <w:sz w:val="24"/>
        </w:rPr>
        <w:t>has the meaning set forth in the Second Amended and Restated Stockholders Agreement, dated as of June 30, 2025, among the Company, Blackstone and the other parties thereto.</w:t>
      </w:r>
    </w:p>
    <w:p>
      <w:pPr>
        <w:pStyle w:val="TextBody"/>
        <w:bidi w:val="0"/>
        <w:spacing w:before="0" w:after="240"/>
        <w:jc w:val="left"/>
        <w:rPr/>
      </w:pPr>
      <w:r>
        <w:rPr>
          <w:color w:val="000000"/>
        </w:rPr>
        <w:t>“</w:t>
      </w:r>
      <w:r>
        <w:rPr>
          <w:rFonts w:ascii="Times New Roman" w:hAnsi="Times New Roman"/>
          <w:b/>
          <w:color w:val="000000"/>
          <w:sz w:val="24"/>
          <w:u w:val="single"/>
        </w:rPr>
        <w:t>General Atlantic Stockholders</w:t>
      </w:r>
      <w:r>
        <w:rPr>
          <w:rFonts w:ascii="Times New Roman" w:hAnsi="Times New Roman"/>
          <w:color w:val="000000"/>
          <w:sz w:val="20"/>
        </w:rPr>
        <w:t xml:space="preserve">” </w:t>
      </w:r>
      <w:r>
        <w:rPr>
          <w:rFonts w:ascii="Times New Roman" w:hAnsi="Times New Roman"/>
          <w:color w:val="000000"/>
          <w:sz w:val="24"/>
        </w:rPr>
        <w:t>means collectively, General Atlantic and all of its affiliated private equity funds, co-invest and side-by-side entities, and other affiliated investment vehicles that hold shares, a “</w:t>
      </w:r>
      <w:r>
        <w:rPr>
          <w:rFonts w:ascii="Times New Roman" w:hAnsi="Times New Roman"/>
          <w:b/>
          <w:color w:val="000000"/>
          <w:sz w:val="24"/>
          <w:u w:val="single"/>
        </w:rPr>
        <w:t>General Atlantic Stockholder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color w:val="000000"/>
          <w:sz w:val="24"/>
          <w:u w:val="single"/>
        </w:rPr>
        <w:t>Interpretive Letters</w:t>
      </w:r>
      <w:r>
        <w:rPr>
          <w:rFonts w:ascii="Times New Roman" w:hAnsi="Times New Roman"/>
          <w:color w:val="000000"/>
          <w:sz w:val="20"/>
        </w:rPr>
        <w:t xml:space="preserve">” </w:t>
      </w:r>
      <w:r>
        <w:rPr>
          <w:rFonts w:ascii="Times New Roman" w:hAnsi="Times New Roman"/>
          <w:color w:val="000000"/>
          <w:sz w:val="24"/>
        </w:rPr>
        <w:t>means each of (i) the letter dated December 14, 1999 submitted by Robert W. Reeder and Alan L. Beller to Michael Hayatte of the staff of the Securities and Exchange Commission (the “</w:t>
      </w:r>
      <w:r>
        <w:rPr>
          <w:rFonts w:ascii="Times New Roman" w:hAnsi="Times New Roman"/>
          <w:b/>
          <w:color w:val="000000"/>
          <w:sz w:val="24"/>
        </w:rPr>
        <w:t>Staff</w:t>
      </w:r>
      <w:r>
        <w:rPr>
          <w:rFonts w:ascii="Times New Roman" w:hAnsi="Times New Roman"/>
          <w:color w:val="000000"/>
          <w:sz w:val="20"/>
        </w:rPr>
        <w:t>”</w:t>
      </w:r>
      <w:r>
        <w:rPr>
          <w:rFonts w:ascii="Times New Roman" w:hAnsi="Times New Roman"/>
          <w:color w:val="000000"/>
          <w:sz w:val="24"/>
        </w:rPr>
        <w:t>) to which the staff responded in an interpretive letter dated December 20, 1999, (ii) the letter dated October 6, 2003 submitted by Robert W. Reeder and Leslie Silverman to Paula Dubberly of the Staff, to which the Staff responded in an interpretive letter dated October 9, 2003 and (iii) the letter dated November 30, 2011 submitted by Robert T. Plenarski and Glen A. Rae to Thomas Kim of the Staff, to which the Staff responded in an interpretive letter dated December 1, 2011.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pPr>
      <w:r>
        <w:rPr>
          <w:color w:val="000000"/>
        </w:rPr>
        <w:t>“</w:t>
      </w:r>
      <w:r>
        <w:rPr>
          <w:rFonts w:ascii="Times New Roman" w:hAnsi="Times New Roman"/>
          <w:b/>
          <w:color w:val="000000"/>
          <w:sz w:val="24"/>
          <w:u w:val="single"/>
        </w:rPr>
        <w:t>IPO</w:t>
      </w:r>
      <w:r>
        <w:rPr>
          <w:rFonts w:ascii="Times New Roman" w:hAnsi="Times New Roman"/>
          <w:color w:val="000000"/>
          <w:sz w:val="20"/>
        </w:rPr>
        <w:t xml:space="preserve">” </w:t>
      </w:r>
      <w:r>
        <w:rPr>
          <w:rFonts w:ascii="Times New Roman" w:hAnsi="Times New Roman"/>
          <w:color w:val="000000"/>
          <w:sz w:val="24"/>
        </w:rPr>
        <w:t>means a direct listing or firm commitment underwritten registered public offering of the Company’s common stock in connection with which the common stock first becomes listed on the NYSE or The NASDAQ Stock Market.</w:t>
      </w:r>
    </w:p>
    <w:p>
      <w:pPr>
        <w:pStyle w:val="TextBody"/>
        <w:bidi w:val="0"/>
        <w:spacing w:before="0" w:after="240"/>
        <w:jc w:val="left"/>
        <w:rPr/>
      </w:pPr>
      <w:r>
        <w:rPr>
          <w:color w:val="000000"/>
        </w:rPr>
        <w:t>“</w:t>
      </w:r>
      <w:r>
        <w:rPr>
          <w:rFonts w:ascii="Times New Roman" w:hAnsi="Times New Roman"/>
          <w:b/>
          <w:color w:val="000000"/>
          <w:sz w:val="24"/>
          <w:u w:val="single"/>
        </w:rPr>
        <w:t>Merger Agreement</w:t>
      </w:r>
      <w:r>
        <w:rPr>
          <w:rFonts w:ascii="Times New Roman" w:hAnsi="Times New Roman"/>
          <w:color w:val="000000"/>
          <w:sz w:val="20"/>
        </w:rPr>
        <w:t xml:space="preserve">” </w:t>
      </w:r>
      <w:r>
        <w:rPr>
          <w:rFonts w:ascii="Times New Roman" w:hAnsi="Times New Roman"/>
          <w:color w:val="000000"/>
          <w:sz w:val="24"/>
        </w:rPr>
        <w:t>means the Merger Agreement, dated as of December 18, 2021, among the Company, Booster Merger Sub, Inc., Liftoff Mobile, Inc. and Fortis Advisors LLC, as the representative of the sellers.</w:t>
      </w:r>
    </w:p>
    <w:p>
      <w:pPr>
        <w:pStyle w:val="TextBody"/>
        <w:bidi w:val="0"/>
        <w:spacing w:before="0" w:after="240"/>
        <w:jc w:val="left"/>
        <w:rPr/>
      </w:pPr>
      <w:r>
        <w:rPr>
          <w:color w:val="000000"/>
        </w:rPr>
        <w:t>“</w:t>
      </w:r>
      <w:r>
        <w:rPr>
          <w:rFonts w:ascii="Times New Roman" w:hAnsi="Times New Roman"/>
          <w:b/>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p>
    <w:p>
      <w:pPr>
        <w:pStyle w:val="TextBody"/>
        <w:bidi w:val="0"/>
        <w:spacing w:before="0" w:after="240"/>
        <w:jc w:val="left"/>
        <w:rPr/>
      </w:pPr>
      <w:r>
        <w:rPr>
          <w:color w:val="000000"/>
        </w:rPr>
        <w:t>“</w:t>
      </w:r>
      <w:r>
        <w:rPr>
          <w:rFonts w:ascii="Times New Roman" w:hAnsi="Times New Roman"/>
          <w:b/>
          <w:color w:val="000000"/>
          <w:sz w:val="24"/>
          <w:u w:val="single"/>
        </w:rPr>
        <w:t>shares</w:t>
      </w:r>
      <w:r>
        <w:rPr>
          <w:rFonts w:ascii="Times New Roman" w:hAnsi="Times New Roman"/>
          <w:color w:val="000000"/>
          <w:sz w:val="20"/>
        </w:rPr>
        <w:t xml:space="preserve">” </w:t>
      </w:r>
      <w:r>
        <w:rPr>
          <w:rFonts w:ascii="Times New Roman" w:hAnsi="Times New Roman"/>
          <w:color w:val="000000"/>
          <w:sz w:val="24"/>
        </w:rPr>
        <w:t xml:space="preserve">means shares of common stock of the Company. Shares held by or on behalf of a Stockholder the certificate or book-entry record for which does not bear a Securities Act restrictive legend, which shares may be resold freely without restriction on volume or manner of sale and without registration under the Securities Act, will not be considered shares for purposes of the demand and piggyback provisions of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the absence of any such legend, shares held by a Blackstone Stockholder shall continue to be treated as shares for purposes of this Agreement.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color w:val="000000"/>
          <w:sz w:val="24"/>
          <w:u w:val="single"/>
        </w:rPr>
        <w:t>Stockholders</w:t>
      </w:r>
      <w:r>
        <w:rPr>
          <w:rFonts w:ascii="Times New Roman" w:hAnsi="Times New Roman"/>
          <w:color w:val="000000"/>
          <w:sz w:val="20"/>
        </w:rPr>
        <w:t xml:space="preserve">” </w:t>
      </w:r>
      <w:r>
        <w:rPr>
          <w:rFonts w:ascii="Times New Roman" w:hAnsi="Times New Roman"/>
          <w:color w:val="000000"/>
          <w:sz w:val="24"/>
        </w:rPr>
        <w:t>mean collectively, the Blackstone Stockholders, the Founders and the General Atlantic Stockholders.</w:t>
      </w:r>
    </w:p>
    <w:p>
      <w:pPr>
        <w:pStyle w:val="TextBody"/>
        <w:bidi w:val="0"/>
        <w:jc w:val="left"/>
        <w:rPr/>
      </w:pPr>
      <w:r>
        <w:rPr>
          <w:color w:val="000000"/>
        </w:rPr>
        <w:t>“</w:t>
      </w:r>
      <w:r>
        <w:rPr>
          <w:rFonts w:ascii="Times New Roman" w:hAnsi="Times New Roman"/>
          <w:b/>
          <w:color w:val="000000"/>
          <w:sz w:val="24"/>
          <w:u w:val="single"/>
        </w:rPr>
        <w:t>WKSI</w:t>
      </w:r>
      <w:r>
        <w:rPr>
          <w:rFonts w:ascii="Times New Roman" w:hAnsi="Times New Roman"/>
          <w:color w:val="000000"/>
          <w:sz w:val="20"/>
        </w:rPr>
        <w:t xml:space="preserve">” </w:t>
      </w:r>
      <w:r>
        <w:rPr>
          <w:rFonts w:ascii="Times New Roman" w:hAnsi="Times New Roman"/>
          <w:color w:val="000000"/>
          <w:sz w:val="24"/>
        </w:rPr>
        <w:t>means a well-known seasoned issuer, as defined in the United States Securities and Exchange Commission’s Rule 405.</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Demand and Piggyback Rights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2.1 </w:t>
      </w:r>
      <w:r>
        <w:rPr>
          <w:rFonts w:ascii="Times New Roman" w:hAnsi="Times New Roman"/>
          <w:b/>
          <w:color w:val="000000"/>
          <w:sz w:val="24"/>
          <w:u w:val="single"/>
        </w:rPr>
        <w:t>Right to Demand a Non-Shelf Registered Offering</w:t>
      </w:r>
      <w:r>
        <w:rPr>
          <w:rFonts w:ascii="Times New Roman" w:hAnsi="Times New Roman"/>
          <w:color w:val="000000"/>
          <w:sz w:val="24"/>
        </w:rPr>
        <w:t>. Upon the demand of any Blackstone Stockholder made at any time and from time to time after the expiration of the lockup period applicable to the Company’s IPO or upon the demand of any General Atlantic Stockholder made at any time after the date that is 18 months after the consummation of the IPO, the Company will facilitate in the manner described in this Agreement a non-shelf registered offering and sale of the shares requested by any Stockholder to be included in such offering, together with any piggyback shares, as described below. Any demanded non-shelf registered offering may, at the Company’s option, include shares to be sold by the Company for its own account and will also include shares to be sold by Stockholders that exercise their related piggyback rights in accordance with this Agreement.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2.2 </w:t>
      </w:r>
      <w:r>
        <w:rPr>
          <w:rFonts w:ascii="Times New Roman" w:hAnsi="Times New Roman"/>
          <w:b/>
          <w:color w:val="000000"/>
          <w:sz w:val="24"/>
          <w:u w:val="single"/>
        </w:rPr>
        <w:t>Right to Piggyback on a Non-Shelf Registered Offering</w:t>
      </w:r>
      <w:r>
        <w:rPr>
          <w:rFonts w:ascii="Times New Roman" w:hAnsi="Times New Roman"/>
          <w:color w:val="000000"/>
          <w:sz w:val="24"/>
        </w:rPr>
        <w:t>. In connection with any registered offering of shares covered by a non-shelf registration statement (whether pursuant to the exercise of demand rights or at the initiative of the Company), the Stockholders may, in accordance with this Agreement, exercise piggyback rights to have included in such offering shares held by them. The Company will facilitate in the manner described in this Agreement any such non-shelf registered offering. Notwithstanding the foregoing, piggyback rights will not be available in connection with the IPO unless such piggyback rights are approved by the Blackstone Stockholders; provided, however, that if the Blackstone Stockholders sell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shares held by them in the IPO, the Founders and the General Atlantic Stockholders shall also have such right, on a pro rata basis with the Blackstone Stockholders based on their relative ownership of the Company, subject to applicable securities laws.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2.3 </w:t>
      </w:r>
      <w:r>
        <w:rPr>
          <w:rFonts w:ascii="Times New Roman" w:hAnsi="Times New Roman"/>
          <w:b/>
          <w:color w:val="000000"/>
          <w:sz w:val="24"/>
          <w:u w:val="single"/>
        </w:rPr>
        <w:t>Right to Demand and be Included in a Shelf Registration</w:t>
      </w:r>
      <w:r>
        <w:rPr>
          <w:rFonts w:ascii="Times New Roman" w:hAnsi="Times New Roman"/>
          <w:color w:val="000000"/>
          <w:sz w:val="24"/>
        </w:rPr>
        <w:t>. Upon the demand of the Blackstone Stockholders, the Founders or the General Atlantic Stockholders made at any time and from time to time when the Company is eligible to sell shares in a secondary offering on a delayed or continuous basis in accordance with Rule 415, the Company will facilitate in the manner described in this Agreement a shelf registration of shares held by such Stockholder. Any shelf registration statement filed by the Company covering shares (whether pursuant to a Stockholder demand or at the initiative of the Company) will cover shares held by each of the Stockholders (regardless of whether they demanded the filing of such shelf or not) up to the amount of shares requested by each such Stockholder. If at the time of such request the Company is a WKSI, such shelf registration statement would, at the request of the Stockholders, cover an unspecified number of shares to be sold by the Stockholders and, if the Company so elects, the Company.</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2.4 </w:t>
      </w:r>
      <w:r>
        <w:rPr>
          <w:rFonts w:ascii="Times New Roman" w:hAnsi="Times New Roman"/>
          <w:b/>
          <w:color w:val="000000"/>
          <w:sz w:val="24"/>
          <w:u w:val="single"/>
        </w:rPr>
        <w:t>Demand and Piggyback Rights for Shelf Takedowns</w:t>
      </w:r>
      <w:r>
        <w:rPr>
          <w:rFonts w:ascii="Times New Roman" w:hAnsi="Times New Roman"/>
          <w:color w:val="000000"/>
          <w:sz w:val="24"/>
        </w:rPr>
        <w:t>. Upon the demand of the Blackstone Stockholders, the Founders or the General Atlantic Stockholders made at any time and from time to time, the Company will facilitate in the manner described in this Agreement a “takedown” off of an effective shelf registration statement of shares held by them that are registered on such shelf. In connection with any shelf takedown (whether pursuant to the exercise of such demand rights or at the initiative of the Company) in connection with which a lockup will be imposed, the Stockholders may exercise piggyback rights to have included in such takedown shares held by them that are registered on such shelf. Notwithstanding the foregoing, neither the Founders nor the General Atlantic Stockholders may demand a shelf takedown for an offering that will result in the imposition of a “lock-up” on the Company or any Stockholder unless the shares requested to be sold by the Founders or the General Atlantic Stockholders, as applicable, in such takedown have an aggregate market value (based on the most recent closing price of the shares at the time of the demand) of at least $10 million.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2.5 </w:t>
      </w:r>
      <w:r>
        <w:rPr>
          <w:rFonts w:ascii="Times New Roman" w:hAnsi="Times New Roman"/>
          <w:b/>
          <w:color w:val="000000"/>
          <w:sz w:val="24"/>
          <w:u w:val="single"/>
        </w:rPr>
        <w:t>Right to Reload a Shelf</w:t>
      </w:r>
      <w:r>
        <w:rPr>
          <w:rFonts w:ascii="Times New Roman" w:hAnsi="Times New Roman"/>
          <w:color w:val="000000"/>
          <w:sz w:val="24"/>
        </w:rPr>
        <w:t>. Upon the written request of the Blackstone Stockholders, the Founders or the General Atlantic Stockholders, the Company will file and seek the effectiveness of a post-effective amendment to an existing shelf in order to register up to the number of shares previously taken down off of such shelf by each of the Stockholders and not yet “reloaded” onto such shelf (or such higher number as may be agreed by Stockholders). The Stockholders and the Company will consult and coordinate with each other in order to accomplish such replenishments on behalf of all Stockholders from time to time in a sensible manner.</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2.6 </w:t>
      </w:r>
      <w:r>
        <w:rPr>
          <w:rFonts w:ascii="Times New Roman" w:hAnsi="Times New Roman"/>
          <w:b/>
          <w:color w:val="000000"/>
          <w:sz w:val="24"/>
          <w:u w:val="single"/>
        </w:rPr>
        <w:t>Limitations on Demand and Piggyback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Any demand for the filing of a registration statement or for a registered offering or takedown will be subject to any applicable lockup restrictions, and such demand must be deferred until such lockup restrictions no longer apply. If a demand has been made for a non-shelf registered offering or for an underwritten shelf takedown, no further demands may be made so long as the related offering is still being pursued. Notwithstanding anything in this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Agreement to the contrary, the Stockholders will not have piggyback rights with respect to registered primary offerings by the Company (i) of shares covered by a Form S-8 registration statement or a successor form applicable to employee benefit-related offers and sales, (ii) where the shares are not being sold for cash or (iii) where the offering is a bona fide offering of securities other than shares, even if such securities are convertible into or exchangeable or exercisable for shares that are registered as part of such offering.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Company may postpone the filing of a demanded registration statement or suspend the effectiveness of any shelf registration statement, or defer initiating the process for a demanded shelf takedown, in any such case for a reasonable “blackout period” that shall not exceed the applicable limits specified below if the board of directors of the Company determines that such registration, offering or takedown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 (i) 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otherwise is or becomes public knowledge.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Founders shall not be the requesting Stockholder (A) pursuant to Sections 2.3, 2.4 or 2.5 prior to the earlier of (x) expiration of the “lock-up” arrangements entered into with the underwriters in connection with the Blackstone Stockholders’ first demand registration pursuant to Section 2.1 or Section 2.4 following the IPO and (y) eighteen (18) months following the completion of an IPO and/or (B) for more than one (1) demand pursuant to Sections 2.3 during any consecutive twelve (12) month period.</w:t>
      </w:r>
    </w:p>
    <w:p>
      <w:pPr>
        <w:pStyle w:val="TextBody"/>
        <w:bidi w:val="0"/>
        <w:jc w:val="left"/>
        <w:rPr>
          <w:rFonts w:ascii="Times New Roman" w:hAnsi="Times New Roman"/>
          <w:color w:val="000000"/>
          <w:sz w:val="24"/>
        </w:rPr>
      </w:pPr>
      <w:r>
        <w:rPr>
          <w:rFonts w:ascii="Times New Roman" w:hAnsi="Times New Roman"/>
          <w:color w:val="000000"/>
          <w:sz w:val="24"/>
        </w:rPr>
        <w:t>(d) The General Atlantic Stockholders shall not be the requesting Stockholder pursuant to Section 2.1, 2.3, 2.4 or 2.5 (A) until the eighteen (18) month anniversary of the completion of an IPO, (B) if the Company has completed an offering (in which the General Atlantic Stockholders were given the opportunity to participate) during the three (3) months immediately preceding such demand and (C) if the General Atlantic Stockholders have previously been the requesting Stockholder pursuant to Section 2.1, 2.3, 2.4 or 2.5 (and a registration statement or shelf takedown, as the case may be, was successfully made effective or completed, as applicable, as a result of such demand) prior to such demand; provided that, solely for purposes of clause (B) above, if the General Atlantic Stockholders had been given the opportunity to participate in an offering in the prior three (3) months, and the General Atlantic Stockholders elected to participate in such offering, but fewer than 75% of the shares requested to be registered by the General Atlantic Stockholders in such offering were registered at such time, then the General Atlantic Stockholders shall not be prohibited from making a request pursuant to Sections 2.1, 2.3, 2.4 or 2.5 as a result of the failure to comply with (B) above.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iii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procedures regarding demands and piggybacks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3.1 </w:t>
      </w:r>
      <w:r>
        <w:rPr>
          <w:rFonts w:ascii="Times New Roman" w:hAnsi="Times New Roman"/>
          <w:b/>
          <w:color w:val="000000"/>
          <w:sz w:val="24"/>
          <w:u w:val="single"/>
        </w:rPr>
        <w:t>Notifications Regarding Demands and Piggyback Opportunities</w:t>
      </w:r>
      <w:r>
        <w:rPr>
          <w:rFonts w:ascii="Times New Roman" w:hAnsi="Times New Roman"/>
          <w:color w:val="000000"/>
          <w:sz w:val="24"/>
        </w:rPr>
        <w:t>. In order for the Blackstone Stockholders, the Founders or the General Atlantic Stockholders to exercise their right to demand that a registration statement be filed or that an underwritten takedown occur, they must so notify the Company indicating the number of shares sought to be registered or taken down and the proposed plan of distribution. The Company will keep the Stockholders contemporaneously apprised of all pertinent aspects of its pursuit of an IPO and any subsequent registration or underwritten shelf takedown of shares, as the case may be (whether pursuant to a Stockholder demand or otherwise), including the anticipated timing of the filing of a registration statement or amendment and the finalization of related preliminary and final prospectuses and the timing of pricing, in order that the Stockholders have a reasonable opportunity to exercise their piggyback rights in accordance with this Agreement. Without derogating from the Company’s obligation to keep Stockholders contemporaneously apprised, as described above, having such a “reasonable opportunity” means that Stockholders must be notified of a piggyback opportunity no later than three full trading days prior to the applicable piggyback deadline referred to in Section 3.2. Pending any required public disclosure and subject to applicable legal requirements, the parties will maintain the confidentiality of these discussions and notifications.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3.2 </w:t>
      </w:r>
      <w:r>
        <w:rPr>
          <w:rFonts w:ascii="Times New Roman" w:hAnsi="Times New Roman"/>
          <w:b/>
          <w:color w:val="000000"/>
          <w:sz w:val="24"/>
          <w:u w:val="single"/>
        </w:rPr>
        <w:t>Notifications Regarding Exercise of Piggyback Rights</w:t>
      </w:r>
      <w:r>
        <w:rPr>
          <w:rFonts w:ascii="Times New Roman" w:hAnsi="Times New Roman"/>
          <w:color w:val="000000"/>
          <w:sz w:val="24"/>
        </w:rPr>
        <w:t>. Any Stockholder wishing to exercise its piggyback rights with respect to a non-shelf registration statement or underwritten shelf takedown must notify the Company and the other Stockholders of the number of shares it seeks to have included in such registration statement or takedown, as the case may be. Such notice must be given as soon as practicable, but in no event later than 4:30 pm, New York City time, on the second trading day (in the case of a non-shelf offering) or on the trading day (in the case of an underwritten shelf takedown) prior to, (i) if applicable, the date on which the preliminary prospectus or prospectus supplement intended to be used in connection with pre-effective marketing efforts for the relevant offering is expected to be finalized, and (ii) in any case, the date on which the pricing of the relevant offering is expected to occur. Pending any required public disclosure and subject to applicable legal requirements, the parties will maintain the confidentiality of these notifications.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3.3 </w:t>
      </w:r>
      <w:r>
        <w:rPr>
          <w:rFonts w:ascii="Times New Roman" w:hAnsi="Times New Roman"/>
          <w:b/>
          <w:color w:val="000000"/>
          <w:sz w:val="24"/>
          <w:u w:val="single"/>
        </w:rPr>
        <w:t>Notifications Regarding Demanded Underwritten Takedowns</w:t>
      </w:r>
      <w:r>
        <w:rPr>
          <w:rFonts w:ascii="Times New Roman" w:hAnsi="Times New Roman"/>
          <w:color w:val="000000"/>
          <w:sz w:val="24"/>
        </w:rPr>
        <w:t>. The Company will keep the Stockholders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Stockholders be notified by the Company of an anticipated underwritten takedown (whether pursuant to a demand made by a requesting Stockholder or made at the Company’s own initiative) no later than 5:00 pm, New York City time, on (A) if applicable, the second trading day prior to the date on which the preliminary prospectus or prospectus supplement intended to be used in connection with pre pricing marketing efforts for such takedown is finalized, and (B) in all cases, the second trading day prior to the date on which the pricing of the relevant takedown occurs. Any Stockholder wishing to exercise its piggyback rights with respect to an underwritten shelf takedown must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notify the Company and the other Stockholders of the number of shares it seeks to have included in such takedown. Such notice must be given as soon as practicable, but in no event later than 5:00 pm, New York City time, on (a) if applicable, the trading day prior to the date on which the preliminary prospectus or prospectus supplement intended to be used in connection with marketing efforts for the relevant offering is expected to be finalized, and (b) in all cases, the trading day prior to the date on which the pricing of the relevant takedown occurs.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3.4 </w:t>
      </w:r>
      <w:r>
        <w:rPr>
          <w:rFonts w:ascii="Times New Roman" w:hAnsi="Times New Roman"/>
          <w:b/>
          <w:color w:val="000000"/>
          <w:sz w:val="24"/>
          <w:u w:val="single"/>
        </w:rPr>
        <w:t>Plan of Distribution, Underwriters and Counsel</w:t>
      </w:r>
      <w:r>
        <w:rPr>
          <w:rFonts w:ascii="Times New Roman" w:hAnsi="Times New Roman"/>
          <w:color w:val="000000"/>
          <w:sz w:val="24"/>
        </w:rPr>
        <w:t>. If a majority of the shares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which managing underwriters shall be reasonably acceptable to the Blackstone Stockholders and Mr. Ellis (should he be Chief Executive Officer of the Company at such time). Otherwise, Stockholders holding a majority of the shares requested to be included in such offering will be entitled to determine the plan of distribution and select the managing underwriters, and any provider of capital markets advisory services, which may include affiliates of the Stockholders, and such Stockholders will also be entitled to select counsel for the selling Stockholders (which may be the same as counsel for the Company). In the case of a shelf registration statement, the plan of distribution will provide as much flexibility as is reasonably possible, including with respect to resales by transferee Stockholders.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3.5 </w:t>
      </w:r>
      <w:r>
        <w:rPr>
          <w:rFonts w:ascii="Times New Roman" w:hAnsi="Times New Roman"/>
          <w:b/>
          <w:color w:val="000000"/>
          <w:sz w:val="24"/>
          <w:u w:val="single"/>
        </w:rPr>
        <w:t>Cutbacks</w:t>
      </w:r>
      <w:r>
        <w:rPr>
          <w:rFonts w:ascii="Times New Roman" w:hAnsi="Times New Roman"/>
          <w:color w:val="000000"/>
          <w:sz w:val="24"/>
        </w:rPr>
        <w:t>. If the managing underwriters advise the Company and the selling Stockholders that, in their opinion, the number of shares requested to be included in an underwritten offering exceeds the amount that can be sold in such offering without adversely affecting the distribution of the shares being offered, such offering will include only the number of shares that the underwriters advise can be sold in such offering. Except in the case of a demand offering, if the Company is selling shares for its own account in such offering, the Company will have first priority and to the extent of any remaining capacity, the selling Stockholders will be subject to cutback pro rata based on the number of shares held by each such Stockholder that is subject to cutback. In a demand offering, the selling Stockholders shall have priority over any other person participating in the offering (including the Company) and shall be subject to cutback pro rata based on the number of shares held by each such Stockholder that is subject to cutback. To the extent that there is any remaining capacity after such Stockholder requesting the demand and the selling Stockholders have been included, any other person participating in the offering (including the Company) will be included and will be subject to cutback pro rata based on the number of shares initially requested by them to be included in such offering. Subject to the last sentence of Section 2.1, other selling equityholders will be included in an underwritten offering only with the consent of the applicable Stockholder requesting such demand (in the event of a demand offering) or the Company (in the event of an offering initiated by the Company).</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3.6 </w:t>
      </w:r>
      <w:r>
        <w:rPr>
          <w:rFonts w:ascii="Times New Roman" w:hAnsi="Times New Roman"/>
          <w:b/>
          <w:color w:val="000000"/>
          <w:sz w:val="24"/>
          <w:u w:val="single"/>
        </w:rPr>
        <w:t>Withdrawals</w:t>
      </w:r>
      <w:r>
        <w:rPr>
          <w:rFonts w:ascii="Times New Roman" w:hAnsi="Times New Roman"/>
          <w:color w:val="000000"/>
          <w:sz w:val="24"/>
        </w:rPr>
        <w:t>. Even if shares held by a Stockholder have been part of a registered underwritten offering, such Stockholder may, no later than the time at which the public offering prices and underwriters’ discount is determined with the managing underwriter, decline to sell all or any portion of the shares being offered for its account.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3.7 </w:t>
      </w:r>
      <w:r>
        <w:rPr>
          <w:rFonts w:ascii="Times New Roman" w:hAnsi="Times New Roman"/>
          <w:b/>
          <w:color w:val="000000"/>
          <w:sz w:val="24"/>
          <w:u w:val="single"/>
        </w:rPr>
        <w:t>Lockups</w:t>
      </w:r>
      <w:r>
        <w:rPr>
          <w:rFonts w:ascii="Times New Roman" w:hAnsi="Times New Roman"/>
          <w:color w:val="000000"/>
          <w:sz w:val="24"/>
        </w:rPr>
        <w:t>. In connection with any underwritten offering of shares (including, for the avoidance of doubt, the Company’s IPO), the Company and each Stockholder will (in the case of Stockholders, with respect to shares respectively held by them) enter into the applicable underwriting agreement and/or the lockup agreement entered into in connection therewith so as to be bound by such agreement’s lockup restrictions (which, in the case of Stockholders, must apply in like manner to each Stockholder) as required by the managing underwriters (which restrictions shall not apply to any margin loan with respect to the shares or any pledge of the shares or any transfer on foreclosure therof). Even in the absence of any Stockholder entering into any such underwriting agreement and/or the lockup agreement, such Stockholder agrees to be bound by the lockup restrictions set forth therein applicable to other Stockholders. Pending execution and delivery of the relevant underwriting agreement and/or the lockup agreement, upon being notified of a proposed or requested underwritten offering with respect to which the piggyback rights described in this Agreement will apply, the Stockholders will immediately be bound by the lockup provisions set forth in the underwriting agreement and/or the lockup agreement for the Company’s IPO as though they were then applicable for so long as the proposed or requested offering is being pursued. The lockup restrictions in any such underwriting agreement and/or the lockup agreement will be for a customary period specified by the managing underwriters or underwriters not to exceed (i) 180 days following the consummation of the IPO, and (ii) 90 days following the consummation of any subsequent registered public sale of shares. The Company shall cause its executive officers and directors (and managers, if applicable) and shall use commercially reasonable efforts to cause other holders of shares who beneficially own (within the meaning of Rules 13d-3 and 13d-5 under the Exchange Act as in effect on the date of this Agreement) at least 5% of the Company’s outstanding common stock, to enter into lockup agreements that contain restrictions that are no less restrictive than the restrictions contained in the lockup agreements executed by the Stockholders. For the avoidance of doubt, no Stockholder shall be required to agree to any lock-up provisions that are more restrictive than lock-up provisions applicable to any other Stockholder and any lock-up provisions agreed to by a Stockholder shall provide that if any Stockholder is released from any of its lock-up restrictions, all other Stockholders shall be released to the same extent.</w:t>
      </w:r>
    </w:p>
    <w:p>
      <w:pPr>
        <w:pStyle w:val="TextBody"/>
        <w:bidi w:val="0"/>
        <w:jc w:val="left"/>
        <w:rPr>
          <w:rFonts w:ascii="Times New Roman" w:hAnsi="Times New Roman"/>
          <w:sz w:val="20"/>
        </w:rPr>
      </w:pPr>
      <w:r>
        <w:rPr>
          <w:rFonts w:ascii="Times New Roman" w:hAnsi="Times New Roman"/>
          <w:b/>
          <w:color w:val="000000"/>
          <w:sz w:val="24"/>
        </w:rPr>
        <w:t xml:space="preserve">3.8 </w:t>
      </w:r>
      <w:r>
        <w:rPr>
          <w:rFonts w:ascii="Times New Roman" w:hAnsi="Times New Roman"/>
          <w:b/>
          <w:color w:val="000000"/>
          <w:sz w:val="24"/>
          <w:u w:val="single"/>
        </w:rPr>
        <w:t>Founders’ Representative</w:t>
      </w:r>
      <w:r>
        <w:rPr>
          <w:rFonts w:ascii="Times New Roman" w:hAnsi="Times New Roman"/>
          <w:color w:val="000000"/>
          <w:sz w:val="24"/>
        </w:rPr>
        <w:t>. For purposes of exercising their demand rights with respect to shelf registrations under Article II, the Founders shall designate to the Company one Founder (the “</w:t>
      </w:r>
      <w:r>
        <w:rPr>
          <w:rFonts w:ascii="Times New Roman" w:hAnsi="Times New Roman"/>
          <w:b/>
          <w:color w:val="000000"/>
          <w:sz w:val="24"/>
          <w:u w:val="single"/>
        </w:rPr>
        <w:t>Founders’ Representative</w:t>
      </w:r>
      <w:r>
        <w:rPr>
          <w:rFonts w:ascii="Times New Roman" w:hAnsi="Times New Roman"/>
          <w:color w:val="000000"/>
          <w:sz w:val="20"/>
        </w:rPr>
        <w:t>”</w:t>
      </w:r>
      <w:r>
        <w:rPr>
          <w:rFonts w:ascii="Times New Roman" w:hAnsi="Times New Roman"/>
          <w:color w:val="000000"/>
          <w:sz w:val="24"/>
        </w:rPr>
        <w:t>) to act as their representative with respect to such demand rights. The Company, the other Stockholders (including the Blackstone Stockholders) and the underwriters in any registered offering shall be entitled to rely on any and all action taken by the Founders’ Representative</w:t>
      </w:r>
      <w:r>
        <w:rPr>
          <w:rFonts w:ascii="Times New Roman" w:hAnsi="Times New Roman"/>
          <w:color w:val="000000"/>
          <w:sz w:val="20"/>
        </w:rPr>
        <w:t xml:space="preserve"> </w:t>
      </w:r>
      <w:r>
        <w:rPr>
          <w:rFonts w:ascii="Times New Roman" w:hAnsi="Times New Roman"/>
          <w:color w:val="000000"/>
          <w:sz w:val="24"/>
        </w:rPr>
        <w:t xml:space="preserve">under this Agreement without any liability to, or obligation to inquire of, any Founder, notwithstanding any knowledge on the part of the Company, such other Stockholders or such underwriters of any such dispute or disagreement, and the other provisions of Article XI of the Merger Agreement shall apply to this Agreement and the appointment of the Founders’ Representative, </w:t>
      </w:r>
      <w:r>
        <w:rPr>
          <w:rFonts w:ascii="Times New Roman" w:hAnsi="Times New Roman"/>
          <w:i/>
          <w:color w:val="000000"/>
          <w:sz w:val="24"/>
        </w:rPr>
        <w:t>mutatis mutandis</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IV</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FACILITATING REGISTRATIONS AND OFFERINGS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4.1 </w:t>
      </w:r>
      <w:r>
        <w:rPr>
          <w:rFonts w:ascii="Times New Roman" w:hAnsi="Times New Roman"/>
          <w:b/>
          <w:color w:val="000000"/>
          <w:sz w:val="24"/>
          <w:u w:val="single"/>
        </w:rPr>
        <w:t>General</w:t>
      </w:r>
      <w:r>
        <w:rPr>
          <w:rFonts w:ascii="Times New Roman" w:hAnsi="Times New Roman"/>
          <w:color w:val="000000"/>
          <w:sz w:val="24"/>
        </w:rPr>
        <w:t>. If the Company becomes obligated under this Agreement to facilitate a registration and offering of shares on behalf of Stockholders, the Company will do so with the same degree of care and dispatch as would reasonably be expected in the case of a registration and offering by the Company of shares for its own account. Without limiting this general obligation, the Company will fulfill its specific obligations as described in this Article IV.</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4.2 </w:t>
      </w:r>
      <w:r>
        <w:rPr>
          <w:rFonts w:ascii="Times New Roman" w:hAnsi="Times New Roman"/>
          <w:b/>
          <w:color w:val="000000"/>
          <w:sz w:val="24"/>
          <w:u w:val="single"/>
        </w:rPr>
        <w:t>Registration Statements</w:t>
      </w:r>
      <w:r>
        <w:rPr>
          <w:rFonts w:ascii="Times New Roman" w:hAnsi="Times New Roman"/>
          <w:color w:val="000000"/>
          <w:sz w:val="24"/>
        </w:rPr>
        <w:t>. In connection with each registration statement that is demanded by any Stockholder in accordance with this Agreement or as to which piggyback rights apply, the Company will: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 prepare and file with the SEC a registration statement covering the applicable shares, (ii) file amendments thereto as warranted, (iii) seek the effectiveness thereof, and (iv) file with the SEC prospectuses and prospectus supplements as may be required, all in consultation with the Stockholders and as reasonably necessary in order to permit the offer and sale of the such shares in accordance with the applicable plan of distribution;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 within a reasonable time prior to the filing of any registration statement, any prospectus, any amendment to a registration statement, amendment or supplement to a prospectus or any free writing prospectus, provide copies of such documents to the selling Stockholders and to the underwriter or underwriters of an underwritten offering, if applicable, and to their respective counsel; fairly consider such reasonable changes to any such documents prior to or after the filing thereof as the counsel to the Stockholders or the underwriter or the underwriters may request; and make such of the representatives of the Company as shall be reasonably requested by the selling Stockholders or any underwriter available for discussion of such documents;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within a reasonable time prior to the filing of any document which is to be incorporated or deemed incorporated by reference into a registration statement or a prospectus, provide copies of such document to counsel for the Stockholders and underwriters; fairly consider such reasonable changes in such document prior to or after the filing thereof as counsel for such Stockholders or such underwriter shall request; and make such of the representatives of the Company as shall be reasonably requested by such counsel available for discussion of such document;</w:t>
      </w:r>
    </w:p>
    <w:p>
      <w:pPr>
        <w:pStyle w:val="TextBody"/>
        <w:bidi w:val="0"/>
        <w:spacing w:before="0" w:after="240"/>
        <w:jc w:val="left"/>
        <w:rPr>
          <w:rFonts w:ascii="Times New Roman" w:hAnsi="Times New Roman"/>
          <w:sz w:val="20"/>
        </w:rPr>
      </w:pPr>
      <w:r>
        <w:rPr>
          <w:rFonts w:ascii="Times New Roman" w:hAnsi="Times New Roman"/>
          <w:color w:val="000000"/>
          <w:sz w:val="24"/>
        </w:rPr>
        <w:t>(c) use all reasonable efforts to cause each registration statement and the related prospectus and any amendment or supplement thereto, as of the effective date of such registration statement, amendment or supplement and during the distribution of the registered shares, (x) 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promptly notify each Stockholder, its respective counsel and the sole underwriter or managing underwriter, if any, and, if requested by such Stockholder, confirm such notice in writing, (i) when any registration statement, any prospectus, any amendment to a registration statement, amendment or supplement to a prospectus or any free writing prospectus has been filed, when a registration statement has become effective and when any post-effective amendments and supplements thereto become effective if such registration statement or post-effective amendment is not automatically effective upon filing pursuant to Rule 462, (ii) of any request by the SEC or any other federal or state governmental authority for amendments or supplements to a registration statement or related prospectus or for additional information, (iii) of the issuance by the SEC or any state securities authority of any stop order, injunction or other order or requirement suspending the effectiveness of a registration statement or the initiation of any proceedings for that purpose, (iv) if, between the effective date of a registration statement and the expiration or earlier closing of any over-allotment option under any underwriting, placement or purchase agreement to which the Company is a party, the representations and warranties of the Company contained in such agreement cease to be true and correct in all material respects or if the Company receives any notification with respect to the suspension of the qualification of the shares for sale in any jurisdiction or the initiation of any proceeding for such purpose, and (v)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furnish counsel for each underwriter, if any, and for the Stockholders copies of any correspondence with the SEC or any state securities authority relating to the registration statement or prospectus;</w:t>
      </w:r>
    </w:p>
    <w:p>
      <w:pPr>
        <w:pStyle w:val="TextBody"/>
        <w:bidi w:val="0"/>
        <w:spacing w:before="0" w:after="240"/>
        <w:jc w:val="left"/>
        <w:rPr>
          <w:rFonts w:ascii="Times New Roman" w:hAnsi="Times New Roman"/>
          <w:sz w:val="20"/>
        </w:rPr>
      </w:pPr>
      <w:r>
        <w:rPr>
          <w:rFonts w:ascii="Times New Roman" w:hAnsi="Times New Roman"/>
          <w:color w:val="000000"/>
          <w:sz w:val="24"/>
        </w:rPr>
        <w:t>(f) otherwise use all reasonable efforts to comply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use all reasonable efforts to obtain the withdrawal of any order suspending the effectiveness of a registration statement at the earliest possible time;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provide and cause to be maintained a transfer agent and registrar for all shares covered by a registration statement from and after a date not later than the effective date of such registration statement.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4.3 </w:t>
      </w:r>
      <w:r>
        <w:rPr>
          <w:rFonts w:ascii="Times New Roman" w:hAnsi="Times New Roman"/>
          <w:b/>
          <w:color w:val="000000"/>
          <w:sz w:val="24"/>
          <w:u w:val="single"/>
        </w:rPr>
        <w:t>Non-Shelf Registered Offerings and Shelf Takedowns</w:t>
      </w:r>
      <w:r>
        <w:rPr>
          <w:rFonts w:ascii="Times New Roman" w:hAnsi="Times New Roman"/>
          <w:color w:val="000000"/>
          <w:sz w:val="24"/>
        </w:rPr>
        <w:t>. In connection with any non-shelf registered offering or shelf takedown that is demanded by any Stockholder or with respect to which piggyback rights have been exercised, the Company will:</w:t>
      </w:r>
    </w:p>
    <w:p>
      <w:pPr>
        <w:pStyle w:val="TextBody"/>
        <w:bidi w:val="0"/>
        <w:spacing w:before="0" w:after="240"/>
        <w:jc w:val="left"/>
        <w:rPr>
          <w:rFonts w:ascii="Times New Roman" w:hAnsi="Times New Roman"/>
          <w:sz w:val="20"/>
        </w:rPr>
      </w:pPr>
      <w:r>
        <w:rPr>
          <w:rFonts w:ascii="Times New Roman" w:hAnsi="Times New Roman"/>
          <w:color w:val="000000"/>
          <w:sz w:val="24"/>
        </w:rPr>
        <w:t>(a) cooperate with the Stockholders selling shares and the sole underwriter or managing underwriter of an underwritten offering, if any, to facilitate the timely preparation and delivery of certificates representing the shares to be sold and not bearing any restrictive legends; and enable such shares to be in such denominations (consistent with the provisions of the governing documents thereof) and registered in such names as the selling Stockholders or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sole underwriter or managing underwriter of an underwritten offering, if any, may reasonably request at least five days prior to any sale of such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furnish to each Stockholder and to each underwriter, if any, participating in the relevant offering, without charge, as many copies of the applicable prospectus, including each preliminary prospectus, and any amendment or supplement thereto, and such other documents as such Stockholder or underwriter may reasonably request in order to facilitate the public sale or other disposition of the shares; the Company hereby consents to the use of the prospectus, including each preliminary prospectus, by each such Stockholder and underwriter in connection with the offering and sale of the shares covered by the prospectus or the preliminary prospectus;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 use all reasonable efforts to register or qualify the shares being offered and sold, no later than the date on which the pricing of the relevant offering is expected to occur, under all applicable state securities or “blue sky” laws of such jurisdictions as each underwriter, if any, or any Stockholder holding shares covered by a registration statement, shall reasonably request; (ii) use all reasonable efforts to keep each such registration or qualification effective during the distribution of the registered shares; (iii) do any and all other acts and things which may be reasonably necessary or advisable to enable each such underwriter, if any, and Stockholder to consummate the disposition in each such jurisdiction of such shares owned by such Stockholder;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shares in connection therewith) in any such jurisdiction; and (iv) use all reasonable efforts to cause the shares being offered and sold, no later than the date on which the pricing of the relevant offering is expected to occur, to be registered with or approved by such other governmental agencies or authorities within the United States, except as may be required solely as a consequence of the nature of the business of any Stockholder, in which case the Company will cooperate in all reasonable respects with the filing of the applicable registration statement and the granting of such approvals, as may be necessary to enable any Stockholder or the underwriters, if any, to consummate the disposition of such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cause all shares being sold to be qualified for inclusion in or listed on any securities exchange on which shares issued by the Company are then so qualified or listed if so requested by the Stockholders, or if so requested by the underwriter or underwriters of an underwritten offering, if any;</w:t>
      </w:r>
    </w:p>
    <w:p>
      <w:pPr>
        <w:pStyle w:val="TextBody"/>
        <w:bidi w:val="0"/>
        <w:spacing w:before="0" w:after="240"/>
        <w:jc w:val="left"/>
        <w:rPr>
          <w:rFonts w:ascii="Times New Roman" w:hAnsi="Times New Roman"/>
          <w:sz w:val="20"/>
        </w:rPr>
      </w:pPr>
      <w:r>
        <w:rPr>
          <w:rFonts w:ascii="Times New Roman" w:hAnsi="Times New Roman"/>
          <w:color w:val="000000"/>
          <w:sz w:val="24"/>
        </w:rPr>
        <w:t>(e) cooperate and assist in any filings required to be made with FINRA and in the performance of any due diligence investigation by any underwriter in an underwritten offering;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(f) use all reasonable efforts to facilitate the distribution and sale of any shares to be offered pursuant to this Agreement, including without limitation by making road show presentations, holding meetings with and making calls to potential investors and taking such other actions as shall be requested by the Stockholders or the lead managing underwriter of an underwritten offering;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in the case of an offering that includes a provider of capital markets advisory services, enter into and perform its obligations under customary agreements (including an advisory services agreement and an indemnification agreement in customary form);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prior to the date on which the pricing of the relevant offering is expected to occur, provide a CUSIP number for the shares;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enter into customary agreements (including, in the case of an underwritten offering, one or more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shares, and in connection therewith: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make such representations and warranties to the selling Stockholders and the underwriters, if any, in form, substance and scope as are customarily made by issuers to underwriters in similar underwritten offerings;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obtain opinions of counsel to the Company and updates thereof (which counsel and opinions (in form, scope and substance) shall be reasonably satisfactory to the lead managing underwriter, if any) addressed to each selling Stockholder and the underwriters, if any, covering the matters customarily covered in opinions requested in sales of securities or underwritten offerings and such other matters as may be reasonably requested by such Stockholders and underwriters;</w:t>
      </w:r>
    </w:p>
    <w:p>
      <w:pPr>
        <w:pStyle w:val="TextBody"/>
        <w:bidi w:val="0"/>
        <w:spacing w:before="0" w:after="240"/>
        <w:jc w:val="left"/>
        <w:rPr>
          <w:rFonts w:ascii="Times New Roman" w:hAnsi="Times New Roman"/>
          <w:sz w:val="20"/>
        </w:rPr>
      </w:pPr>
      <w:r>
        <w:rPr>
          <w:rFonts w:ascii="Times New Roman" w:hAnsi="Times New Roman"/>
          <w:color w:val="000000"/>
          <w:sz w:val="24"/>
        </w:rPr>
        <w:t>3. obtain “cold comfort” letters and updates thereof from the Company’s independent certified public accountants addressed to the selling Stockholders, if permissible, and the underwriters, if any, which letters shall be customary in form and shall cover matters of the type customarily covered in “cold comfort” letters to underwriters in connection with primary underwritten offerings;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 to the extent requested and customary for the relevant transaction, enter into a securities sales agreement with the Stockholders providing for, among other things, the appointment of a representative as agent for the selling Stockholders for the purpose of soliciting purchases of shares, which agreement shall be customary in form, substance and scope and shall contain customary representations, warranties and covenants;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 deliver such documents and certificates as the sole underwriter or managing underwriter, if any, any Stockholder, or their respective counsel, shall reasonably request to evidence the continued validity of the representations and warranties made in accordance with Section 4.3(h)(1) above and to evidence compliance with any customary conditions contained in the underwriting agreement or other agreement entered into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(j) if required by the Company’s transfer agent for the shares (the “</w:t>
      </w:r>
      <w:r>
        <w:rPr>
          <w:rFonts w:ascii="Times New Roman" w:hAnsi="Times New Roman"/>
          <w:b/>
          <w:color w:val="000000"/>
          <w:sz w:val="24"/>
          <w:u w:val="single"/>
        </w:rPr>
        <w:t>Transfer Agent</w:t>
      </w:r>
      <w:r>
        <w:rPr>
          <w:rFonts w:ascii="Times New Roman" w:hAnsi="Times New Roman"/>
          <w:color w:val="000000"/>
          <w:sz w:val="20"/>
        </w:rPr>
        <w:t>”</w:t>
      </w:r>
      <w:r>
        <w:rPr>
          <w:rFonts w:ascii="Times New Roman" w:hAnsi="Times New Roman"/>
          <w:color w:val="000000"/>
          <w:sz w:val="24"/>
        </w:rPr>
        <w:t>) and/or The Depository Trust Company (“</w:t>
      </w:r>
      <w:r>
        <w:rPr>
          <w:rFonts w:ascii="Times New Roman" w:hAnsi="Times New Roman"/>
          <w:b/>
          <w:color w:val="000000"/>
          <w:sz w:val="24"/>
          <w:u w:val="single"/>
        </w:rPr>
        <w:t>DTC</w:t>
      </w:r>
      <w:r>
        <w:rPr>
          <w:rFonts w:ascii="Times New Roman" w:hAnsi="Times New Roman"/>
          <w:color w:val="000000"/>
          <w:sz w:val="20"/>
        </w:rPr>
        <w:t>”</w:t>
      </w:r>
      <w:r>
        <w:rPr>
          <w:rFonts w:ascii="Times New Roman" w:hAnsi="Times New Roman"/>
          <w:color w:val="000000"/>
          <w:sz w:val="24"/>
        </w:rPr>
        <w:t>), the Company will use reasonable efforts to cause opinions of counsel to be delivered to and maintained with the Transfer Agent and/or DTC, together with any other agreements, authorizations, certificates and directions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required by the Transfer Agent and/or DTC which authorize and direct the Transfer Agent to transfer shares without any restrictive legend and which allow DTC to accept such shares for settlement;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use all reasonable efforts to facilitate the settlement of the shares to be sold pursuant to this Agreement, including through the facilities of DTC.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above shall be done at such times as customarily occur in similar registered offerings or shelf takedowns.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4.4 </w:t>
      </w:r>
      <w:r>
        <w:rPr>
          <w:rFonts w:ascii="Times New Roman" w:hAnsi="Times New Roman"/>
          <w:b/>
          <w:color w:val="000000"/>
          <w:sz w:val="24"/>
          <w:u w:val="single"/>
        </w:rPr>
        <w:t>Due Diligence</w:t>
      </w:r>
      <w:r>
        <w:rPr>
          <w:rFonts w:ascii="Times New Roman" w:hAnsi="Times New Roman"/>
          <w:color w:val="000000"/>
          <w:sz w:val="24"/>
        </w:rPr>
        <w:t>. In connection with each registration and offering of shares to be sold by Stockholders, the Company will, in accordance with customary practice, make available for inspection by representatives of the Stockholders and underwriters and any counsel or accountant retained by such Stockholders or underwriters all relevant financial and other records, pertinent corporate documents and properties of the Company and cause appropriate officers, managers, employees, outside counsel and accountants of the Company to supply all information reasonably requested by any such representative, underwriter, counsel or accountant in connection with their due diligence exercise, including through in-person meetings, but subject to customary privilege constraints.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4.5 </w:t>
      </w:r>
      <w:r>
        <w:rPr>
          <w:rFonts w:ascii="Times New Roman" w:hAnsi="Times New Roman"/>
          <w:b/>
          <w:color w:val="000000"/>
          <w:sz w:val="24"/>
          <w:u w:val="single"/>
        </w:rPr>
        <w:t>Information from Stockholders</w:t>
      </w:r>
      <w:r>
        <w:rPr>
          <w:rFonts w:ascii="Times New Roman" w:hAnsi="Times New Roman"/>
          <w:color w:val="000000"/>
          <w:sz w:val="24"/>
        </w:rPr>
        <w:t>. Each Stockholder that holds shares covered by any registration statement will furnish to the Company such information regarding itself as is required to be included in the registration statement or prospectus, the ownership of shares by such Stockholder and the proposed distribution by such Stockholder of such shares as the Company may from time to time reasonably request in writing.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 xml:space="preserve">4.6 </w:t>
      </w:r>
      <w:r>
        <w:rPr>
          <w:rFonts w:ascii="Times New Roman" w:hAnsi="Times New Roman"/>
          <w:b/>
          <w:color w:val="000000"/>
          <w:sz w:val="24"/>
          <w:u w:val="single"/>
        </w:rPr>
        <w:t>Expenses</w:t>
      </w:r>
      <w:r>
        <w:rPr>
          <w:rFonts w:ascii="Times New Roman" w:hAnsi="Times New Roman"/>
          <w:color w:val="000000"/>
          <w:sz w:val="24"/>
        </w:rPr>
        <w:t>. All expenses incurred in connection with any registration statement or registered offering or shelf takedown covering shares held by Stockholders, including, without limitation, all registration and filing fees, printing expenses, fees and disbursements of counsel (including the fees and disbursements of outside counsel for selling Stockholders) and of the independent certified public accountants, and the expense of qualifying such shares under state blue sky laws, will be borne by the Company. However, underwriters’, brokers’ and dealers’ discounts and commissions applicable to shares sold for the account of a Stockholder will be borne by such Stockholder.</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V</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INDEMNIFICATION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5.1 </w:t>
      </w:r>
      <w:r>
        <w:rPr>
          <w:rFonts w:ascii="Times New Roman" w:hAnsi="Times New Roman"/>
          <w:b/>
          <w:color w:val="000000"/>
          <w:sz w:val="24"/>
          <w:u w:val="single"/>
        </w:rPr>
        <w:t>Indemnification by the Company</w:t>
      </w:r>
      <w:r>
        <w:rPr>
          <w:rFonts w:ascii="Times New Roman" w:hAnsi="Times New Roman"/>
          <w:color w:val="000000"/>
          <w:sz w:val="24"/>
        </w:rPr>
        <w:t>. In the event of any registration under the Securities Act by any registration statement pursuant to rights granted in this Agreement of shares held by Stockholders, the Company will indemnify and hold harmless Stockholders, their officers, directors and affiliates (and the officers, directors, employees, general and limited partners, affiliates and controlling persons of any of the foregoing), and each underwriter of such securities and each other person, if any, who controls any Stockholder or such underwriter within the meaning of the Securities Act, against any losses, claims, damages, expenses, judgments or liabilities (including, without limitation, legal fees and costs of court), joint or several, to which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Stockholders or such underwriter or controlling person may become subject under the Securities Act, common law or otherwise, including any amount paid in settlement of any litigation commenced or threatened, and shall promptly reimburse such persons, as and when incurred, for any legal or other expenses reasonably incurred by them in connection with investigating any claims and defending any actions, insofar as such losses, claims, damages, or liabilities (or any actions in respect thereof) arise out of or are based upon any violation or alleged violation by the Company of the Securities Act, any blue sky laws, securities laws or other applicable laws or rules of any state or country in which such shares are offered and relating to action taken or action or inaction required of the Company in connection with such offering, or arise out of or are based upon any untrue statement or alleged untrue statement of any material fact (i) contained in any registration statement under which such securities were registered under the Securities Act or any amendment or supplement to any of the foregoing, or in any document incorporated by reference therein or related document or report, or any issuer free writing prospectus (including any “road show,” whether or not required to be filed with the SEC), or which arise out of or are based upon the omission or alleged omission to state a material fact required to be stated therein or necessary to make the statements therein not misleading or (ii) contained in any preliminary prospectus, if used prior to the effective date of such registration statement, or in the final prospectus (as amended or supplemented if the Company shall have filed with the SEC any amendment or supplement to the final prospectus), or which arise out of or are based upon the omission or alleged omission (if so used) to state a material fact required to be stated in such prospectus or necessary to make the statements in such prospectus not misleading; and will reimburse Stockholders and each such underwriter and each such controlling person for any legal or any other expenses reasonably incurred by them in connection with investigating or defending any such loss, claim, damage, or liability; provided, however, that the Company shall not be liable to any Stockholder or its underwriters or controlling persons in any such case to the extent that any such loss, claim, damage, or liability arises out of or is based upon an untrue statement or alleged untrue statement or omission or alleged omission made in such registration statement or such amendment or supplement or other document, in reliance upon and in conformity with information furnished to the Company through a written instrument duly executed by Stockholders or such underwriter specifically for use in the preparation of the information with respect to such Stockholder or such underwriter required under Items 403 and 507 of Regulation S-K under the Securities Act.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5.2 </w:t>
      </w:r>
      <w:r>
        <w:rPr>
          <w:rFonts w:ascii="Times New Roman" w:hAnsi="Times New Roman"/>
          <w:b/>
          <w:color w:val="000000"/>
          <w:sz w:val="24"/>
          <w:u w:val="single"/>
        </w:rPr>
        <w:t>Indemnification by Stockholders</w:t>
      </w:r>
      <w:r>
        <w:rPr>
          <w:rFonts w:ascii="Times New Roman" w:hAnsi="Times New Roman"/>
          <w:b/>
          <w:color w:val="000000"/>
          <w:sz w:val="24"/>
        </w:rPr>
        <w:t xml:space="preserve">. </w:t>
      </w:r>
      <w:r>
        <w:rPr>
          <w:rFonts w:ascii="Times New Roman" w:hAnsi="Times New Roman"/>
          <w:color w:val="000000"/>
          <w:sz w:val="24"/>
        </w:rPr>
        <w:t xml:space="preserve">Each Stockholder (as to itself, severally and not jointly) will indemnify and hold harmless (in the same manner and to the same extent as set forth in Section 5.1) the Company, each director of the Company, each officer of the Company who shall sign the registration statement, and any person who controls the Company within the meaning of the Securities Act, (i) with respect to any untrue statement or alleged untrue statement in or omission or alleged omission from such registration statement, or any amendment or supplement to it, or any issuer free writing prospectus or other document, to the extent, but only to the extent, that such untrue statement or omission was made in reliance upon and in conformity with information furnished to the Company through a written instrument duly executed by such Stockholder specifically regarding such Stockholder for use in the preparation of the information with respect to such Stockholder required under Items 403 and 507 of Regulation S-K under the Securities Act, and (ii) with respect to compliance by such Stockholder with applicable laws in effecting the sale or other disposition of the securities covered by such registration statement;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liability of each Stockholder pursuant to this Section 5.2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shall not exceed the amount by which the total price at which the shares were offered to the public by such Stockholder exceeds the amount of any damages which such Stockholder has otherwise been required to pay by reason of an untrue statement or omission.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5.3 </w:t>
      </w:r>
      <w:r>
        <w:rPr>
          <w:rFonts w:ascii="Times New Roman" w:hAnsi="Times New Roman"/>
          <w:b/>
          <w:color w:val="000000"/>
          <w:sz w:val="24"/>
          <w:u w:val="single"/>
        </w:rPr>
        <w:t>Indemnification Procedures</w:t>
      </w:r>
      <w:r>
        <w:rPr>
          <w:rFonts w:ascii="Times New Roman" w:hAnsi="Times New Roman"/>
          <w:color w:val="000000"/>
          <w:sz w:val="24"/>
        </w:rPr>
        <w:t>. Promptly after receipt by an indemnified party of notice of the commencement of any action involving a claim referred to in the preceding Sections of this Article V, the indemnified party will, if a resulting claim is to be made or may be made against any indemnifying party, give written notice to the indemnifying party of the commencement of the action. The failure of any indemnified party to give notice shall not relieve the indemnifying party of its obligations in this Article V, except to the extent that the indemnifying party is actually prejudiced by the failure to give notice. If any such action is brought against an indemnified party, the indemnifying party will be entitled to participate in and to assume the defense of the action with counsel reasonably satisfactory to the indemnified party, and after notice from the indemnifying party to such indemnified party of its election to assume defense of the action, the indemnifying party will not be liable to such indemnified party for any legal or other expenses incurred by the latter in connection with the action’s defense. An indemnified party shall have the right to employ separate counsel in any action or proceeding and participate in the defense thereof, but the fees and expenses of such counsel shall be at such indemnified party’s expense unless (a) the employment of such counsel has been specifically authorized in writing by the indemnifying party, which authorization shall not be unreasonably withheld, (ii) the indemnifying party has not assumed the defense and employed counsel reasonably satisfactory to the indemnified party within 30 days after notice of any such action or proceeding, or (iii) the named parties to any such action or proceeding (including any impleaded parties) include the indemnified party and the indemnifying party and the indemnified party shall have been advised by such counsel that there may be one or more legal defenses available to the indemnified party that are different from or additional to those available to the indemnifying party (in which case the indemnifying party shall not have the right to assume the defense of such action or proceeding on behalf of the indemnified party), it being understood, however,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(in addition to all local counsel which is necessary, in the good faith opinion of both counsel for the indemnifying party and counsel for the indemnified party in order to adequately represent the indemnified parties) for the indemnified party and that all such fees and expenses shall be reimbursed as they are incurred upon written request and presentation of invoices. Whether or not a defense is assumed by the indemnifying party, the indemnifying party will not be subject to any liability for any settlement made without its consent (but such consent will not be unreasonably withheld). No indemnifying party will consent to entry of any judgment or enter into any settlement which (i) does not include as an unconditional term the giving by the claimant or plaintiff, to the indemnified party, of a release from all liability in respect of such claim or litigation or (ii) involves the imposition of equitable remedies or the imposition of any non-financial obligations on the indemnified party.</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5.4 </w:t>
      </w:r>
      <w:r>
        <w:rPr>
          <w:rFonts w:ascii="Times New Roman" w:hAnsi="Times New Roman"/>
          <w:b/>
          <w:color w:val="000000"/>
          <w:sz w:val="24"/>
          <w:u w:val="single"/>
        </w:rPr>
        <w:t>Contribution</w:t>
      </w:r>
      <w:r>
        <w:rPr>
          <w:rFonts w:ascii="Times New Roman" w:hAnsi="Times New Roman"/>
          <w:color w:val="000000"/>
          <w:sz w:val="24"/>
        </w:rPr>
        <w:t>. If the indemnification required by this Article V from the indemnifying party is unavailable to or insufficient to hold harmless an indemnified party in respect of any indemnifiable losses, claims, damages, liabilities, or expenses, then the indemnifying party shall contribute to the amount paid or payable by the indemnified party as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result of such losses, claims, damages, liabilities, or expenses in such proportion as is appropriate to reflect (i) the relative benefit of the indemnifying and indemnified parties and (ii) if the allocation in clause (i) is not permitted by applicable law, in such proportion as is appropriate to reflect the relative benefit referred to in clause (i) and also the relative fault of the indemnified and indemnifying parties, in connection with the actions which resulted in such losses, claims, damages, liabilities, or expenses, as well as any other relevant equitable considerations. The relative benefits received by a party shall be deemed to be in the same proportion as the total net proceeds from the offering (before deducting expenses) received by it bear to the total amounts (including, in the case of any underwriter, any underwriting commissions and discounts) received by each other party. The relative fault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parties, and the parties’ relative intent, knowledge, access to information, and opportunity to correct or prevent such action. The amount paid or payable by a party as a result of the losses, claims, damage, liabilities, and expenses referred to above shall be deemed to include any legal or other fees or expenses reasonably incurred by such party in connection with any investigation or proceeding. The Company and Stockholders agree that it would not be just and equitable if contribution pursuant to this Section 5.4 were determined by pro rata allocation or by any other method of allocation which does not take account of the equitable considerations referred to in the prior provisions of this Section 5.4.</w:t>
      </w:r>
    </w:p>
    <w:p>
      <w:pPr>
        <w:pStyle w:val="TextBody"/>
        <w:bidi w:val="0"/>
        <w:jc w:val="left"/>
        <w:rPr>
          <w:rFonts w:ascii="Times New Roman" w:hAnsi="Times New Roman"/>
          <w:sz w:val="20"/>
        </w:rPr>
      </w:pPr>
      <w:r>
        <w:rPr>
          <w:rFonts w:ascii="Times New Roman" w:hAnsi="Times New Roman"/>
          <w:color w:val="000000"/>
          <w:sz w:val="24"/>
        </w:rPr>
        <w:t>Notwithstanding the provisions of this Section 5.4, no indemnifying party shall be required to contribute any amount in excess of: (x) the amount by which the total price at which the shares were offered to the public by such indemnifying party exceeds the amount of any damages which such indemnifying party has otherwise been required to pay by reason of an untrue statement or omission, in the case of an indemnifying party that is not an underwriter, and (y) the amount by which the total underwriting discounts and commissions received by such indemnifying party exceeds the amount of any damages which such indemnifying party has otherwise been required to pay by reason of an untrue statement or omission, in the case of an indemnifying party that is an underwriter. No person guilty of fraudulent misrepresentation (within the meaning of Section 11(f) of the Securities Act) shall be entitled to contribution from any person who was not guilty of such a fraudulent misrepresentation.</w:t>
      </w:r>
      <w:r>
        <w:rPr>
          <w:rFonts w:ascii="Times New Roman" w:hAnsi="Times New Roman"/>
          <w:color w:val="000000"/>
          <w:sz w:val="20"/>
        </w:rPr>
        <w:t xml:space="preserve"> </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VI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other agreements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6.1 </w:t>
      </w:r>
      <w:r>
        <w:rPr>
          <w:rFonts w:ascii="Times New Roman" w:hAnsi="Times New Roman"/>
          <w:b/>
          <w:color w:val="000000"/>
          <w:sz w:val="24"/>
          <w:u w:val="single"/>
        </w:rPr>
        <w:t>Transfer of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Any Stockholder may transfer all or any portion of its rights under this Agreement to any transferee of shares held by such Stockholder or Founder to the extent such transfer is not in violation of any requirements applicable under any agreement such Stockholder has with the Company. Any such transfer of registration rights will be effective upon receipt by the Company of (i) written notice from such Stockholder stating the name and address of any transferee and identifying the number of shares with respect to which rights under this Agreement are being transferred and the nature of the rights so transferred, and (ii) a written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agreement from such Stockholder to be bound by the terms of this Agreement. However, if such transferees constitute the partners or members of BCP Redbird Aggregator L.P. or Blackstone Capital Partners VII L.P. and its affiliated investment vehicles utilized in connection with the investment in the Company, including relevant co-invest and side-by-side entities and their respective investment vehicles and such partners or members are receiving shares through an in-kind distribution as contemplated by Section 6.4, (i) no such written agreement is required, and (ii) such in-kind transferees (as well as other persons or entities to whom such in-kind transferees transfer such shares) will, as transferee Stockholders, be entitled solely to the rights set forth in the subsequent sentence and in Section 3.8, Article V and Section 6.4 as third-party beneficiaries to the rights under this Agreement so transferred. In that regard, in-kind transferees and their transferees that receive shares pursuant to Section 6.4 will not be given demand or piggyback rights; rather, their means of registered resale will be limited to sales off a shelf registration statement with respect to which no special actions are required by the Company or the other Stockholders. Other than in the case of an in-kind distribution by Blackstone or General Atlantic described in this Section 6.1(a), the Company and the transferring Stockholder will notify the other Stockholders as to who the transferees are and the nature of the rights so transferred.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In the event the Company engages in a merger or consolidation in which the shares are converted into securities of another company, appropriate arrangements will be made so that the registration rights provided under this Agreement continue to be provided to Stockholders by the issuer of such securities. To the extent such new issuer, or any other company acquired by the Company in a merger or consolidation, was bound by registration rights obligations that would conflict with the provisions of this Agreement, the Company will use its reasonable best efforts to modify any such “inherited” registration rights obligations so as not to interfere in any material respects with the rights provided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In the event that the Company effects the separation of any portion of its business into one or more entities (each, a “NewCo”), whether existing or newly formed, including without limitation by way of spin-off, split-off, carve-out, demerger, recapitalization, reorganization or similar transaction, and any Stockholders will receive equity interests in any such NewCo as part of such separation, the Company shall cause any such NewCo to enter into a registration rights agreement with each such Stockholder that provides each such Stockholder with registration rights vis-à-vis such NewCo that are substantially identical to those set forth in this Agreement.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6.2 </w:t>
      </w:r>
      <w:r>
        <w:rPr>
          <w:rFonts w:ascii="Times New Roman" w:hAnsi="Times New Roman"/>
          <w:b/>
          <w:color w:val="000000"/>
          <w:sz w:val="24"/>
          <w:u w:val="single"/>
        </w:rPr>
        <w:t>Limited Liability</w:t>
      </w:r>
      <w:r>
        <w:rPr>
          <w:rFonts w:ascii="Times New Roman" w:hAnsi="Times New Roman"/>
          <w:color w:val="000000"/>
          <w:sz w:val="24"/>
        </w:rPr>
        <w:t>. Notwithstanding any other provision of this Agreement, neither the members, general partners, limited partners or managing directors, or any directors or officers of any members, general or limited partner, advisory director, nor any future members, general partners, limited partners, advisory directors, or managing directors, if any, of any Blackstone Stockholder shall have any personal liability in respect of any obligation of such Blackstone Stockholder under this Agreement.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6.3 </w:t>
      </w:r>
      <w:r>
        <w:rPr>
          <w:rFonts w:ascii="Times New Roman" w:hAnsi="Times New Roman"/>
          <w:b/>
          <w:color w:val="000000"/>
          <w:sz w:val="24"/>
          <w:u w:val="single"/>
        </w:rPr>
        <w:t>Rule 144</w:t>
      </w:r>
      <w:r>
        <w:rPr>
          <w:rFonts w:ascii="Times New Roman" w:hAnsi="Times New Roman"/>
          <w:color w:val="000000"/>
          <w:sz w:val="24"/>
        </w:rPr>
        <w:t>. If the Company is subject to the requirements of Section 13, 14 or 15(d) of the Exchange Act, the Company covenants that it will file any reports required to be filed by it under the Securities Act and the Exchange Act (or, if the Company is subject to the requirements of Section 13, 14 or 15(d) of the Exchange Act but is not required to file such reports, it will, upon the request of any Stockholder, make publicly available such information),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 it will take such further action as any Stockholder may reasonably request so as to enable such Stockholder to sell shares or enter into Derivative Transactions without registration under the Securities Act within the limitation of the exemptions provided by (a) Rule 144 under the Securities Act, as such Rule may be amended from time to time, or (b) any similar rule or regulation hereafter adopted by the SEC. Upon the request of any Stockholder, the Company will deliver to such Stockholder a written statement as to whether it has complied with such requirements.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6.4 </w:t>
      </w:r>
      <w:r>
        <w:rPr>
          <w:rFonts w:ascii="Times New Roman" w:hAnsi="Times New Roman"/>
          <w:b/>
          <w:color w:val="000000"/>
          <w:sz w:val="24"/>
          <w:u w:val="single"/>
        </w:rPr>
        <w:t>Underwritten Registrations</w:t>
      </w:r>
      <w:r>
        <w:rPr>
          <w:rFonts w:ascii="Times New Roman" w:hAnsi="Times New Roman"/>
          <w:color w:val="000000"/>
          <w:sz w:val="24"/>
        </w:rPr>
        <w:t>. No holder of shares may participate in any underwritten registration or takedown hereunder unless such holder (a) agrees to sell such holder’s shares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 each in a form that is customary for transactions of a similar type.</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6.5 </w:t>
      </w:r>
      <w:r>
        <w:rPr>
          <w:rFonts w:ascii="Times New Roman" w:hAnsi="Times New Roman"/>
          <w:b/>
          <w:color w:val="000000"/>
          <w:sz w:val="24"/>
          <w:u w:val="single"/>
        </w:rPr>
        <w:t>In-Kind Distributions</w:t>
      </w:r>
      <w:r>
        <w:rPr>
          <w:rFonts w:ascii="Times New Roman" w:hAnsi="Times New Roman"/>
          <w:color w:val="000000"/>
          <w:sz w:val="24"/>
        </w:rPr>
        <w:t>. If any Blackstone Stockholder or General Atlantic Stockholder seeks to effectuate an in-kind distribution of all or part of its shares to its direct or indirect equityholders, the Company will, subject to applicable lockups, work with such Blackstone Stockholder or General Atlantic Stockholder, as applicable and the Company’s transfer agent to facilitate such in-kind distribution in the manner reasonably requested by such Blackstone Stockholder or General Atlantic Stockholder, as well as any resales by such transferees under a shelf registration statement covering such distributed shares.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6.6 </w:t>
      </w:r>
      <w:r>
        <w:rPr>
          <w:rFonts w:ascii="Times New Roman" w:hAnsi="Times New Roman"/>
          <w:b/>
          <w:color w:val="000000"/>
          <w:sz w:val="24"/>
          <w:u w:val="single"/>
        </w:rPr>
        <w:t>Derivative Transactions; Financing Cooperation</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 The provisions of this Agreement relating to the registration, offer and sale of shares apply also to Derivative Transactions entered into by a Stockholder where the initial hedging of the Derivative Counterparty is executed pursuant to a registration statement. In such connection, references to “shares” shall be deemed to refer to common stock of the Company or any other securities of the same class as the shares sold short in connection with any Derivative Transaction, as the context requires, and the obligations of the Company under Article IV shall apply, irrespective of what type of demand or other registration the Derivative Transaction is deemed to be executed in connection with. Any prospectus in connection with a Derivative Transaction shall be in form and substance acceptable to the Derivative Counterparty, the Stockholder and their counsel to permit a Derivative Counterparty to sell the shares (or common stock or other securities of the same class as shares) covered by such prospectus and any applicable prospectus supplement, including in short sale transactions (whether any shares sold short are borrowed from such Stockholder or otherwise) in compliance with applicable securities laws (including pursuant to the Interpretive Letters). If in connection with a Derivative Transaction, a Derivative Counterparty or any affiliate thereof is (or may reasonably be considered) an underwriter or selling stockholder, then such Derivative Counterparty may be required to provide customary indemnities to the Company regarding the plan of distribution and related matters.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(b) Without limiting the foregoing, the Company agrees to cooperate with each Stockholder in taking any action reasonably necessary to consummate a Derivative Transaction entered into by such Stockholder (whether executed on a registered basis, under Rule 144 or otherwise) and any pledge, hypothecation or grant of security over shares related thereto, including without limitation, (x) delivery of Issuer Agreements (as defined below), and, in the case of a registered offering, underwriting or registration agreements in form customary for registered Derivative Transactions, and (y) taking such action as such Stockholder or the Derivative Counterparty may reasonably request from time to time to enable such Stockholder and Derivative Counterparty to sell or hedge shares or common stock of the Company or securities of the same class as the shares in compliance with the Securities Act (including as may be needed to comply with the Interpretive Letters). Notwithstanding anything to the contrary in this Agreement, the Company agrees to maintain the effectiveness of any registration statement, and to amend as necessary any prospectus contained therein (and to provide, on at least a quarterly basis, if required by the Derivative Counterparty, such “bring downs” of the documentation and other obligations listed in Article IV hereunder, which “bring-downs” shall not be deemed to constitute a new “demand” under the Agreement) until the Derivative Counterparty or its affiliates have completed the sale of all shares (or short sales of shares) offered pursuant to such Derivative Transaction as contemplated by the Interpretive Letters.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For avoidance of doubt, the clarifications provided in this Section 6.6 to the effect that Derivative Transactions are among the types of transactions covered by the provisions of this Agreement relating to the registration, offer, and sale of shares shall not be read to imply that any other particular types of transactions, by virtue of not having a similar clarifying provision in this Agreement, are not among the types of transactions covered by the provisions of this Agreement relating to the registration, offer, and sale of shares.</w:t>
      </w:r>
    </w:p>
    <w:p>
      <w:pPr>
        <w:pStyle w:val="TextBody"/>
        <w:bidi w:val="0"/>
        <w:jc w:val="left"/>
        <w:rPr>
          <w:rFonts w:ascii="Times New Roman" w:hAnsi="Times New Roman"/>
          <w:sz w:val="20"/>
        </w:rPr>
      </w:pPr>
      <w:r>
        <w:rPr>
          <w:rFonts w:ascii="Times New Roman" w:hAnsi="Times New Roman"/>
          <w:color w:val="000000"/>
          <w:sz w:val="24"/>
        </w:rPr>
        <w:t>(d) Upon the request of any Stockholder that wishes to pledge, hypothecate or grant security interests in any or all of the shares held by it, including to banks, financial institutions or other financial entities, as collateral or security for loans, advances or other extensions of credit, the Company agrees to cooperate with each such Stockholder in taking any action reasonably necessary to consummate any such pledge, hypothecation or grant, including without limitation, delivery of letter agreements (“</w:t>
      </w:r>
      <w:r>
        <w:rPr>
          <w:rFonts w:ascii="Times New Roman" w:hAnsi="Times New Roman"/>
          <w:b/>
          <w:color w:val="000000"/>
          <w:sz w:val="24"/>
          <w:u w:val="single"/>
        </w:rPr>
        <w:t>Issuer Agreement</w:t>
      </w:r>
      <w:r>
        <w:rPr>
          <w:rFonts w:ascii="Times New Roman" w:hAnsi="Times New Roman"/>
          <w:color w:val="000000"/>
          <w:sz w:val="20"/>
        </w:rPr>
        <w:t>”</w:t>
      </w:r>
      <w:r>
        <w:rPr>
          <w:rFonts w:ascii="Times New Roman" w:hAnsi="Times New Roman"/>
          <w:color w:val="000000"/>
          <w:sz w:val="24"/>
        </w:rPr>
        <w:t>) to lenders in form and substance reasonably satisfactory to such lenders (which may include, without limitation, (i) agreements by the Company in respect of the exercise of remedies by such lenders, including agreements to effect the transfer of the shares to the lender or purchasers in a foreclosure sale within specified timeframes and pursuant to agreed processes and documentation, (ii) agreements to cause the transfer agent to transfer any such shares subject to the pledge, hypothecation or grant into the facilities of The Depository Trust Company without restricted legends and represented by an unrestricted CUSIP, whether in connection with the grant of the pledge or upon foreclosure, subject to customary representations, warranties and agreements by the Stockholder and Derivative Counterparty necessary to establish compliance with applicable securities laws, and (iii) customary representations and warranties by the Company reasonably necessary to establish compliance with the Company’s policies and applicable securities laws).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40"/>
        <w:jc w:val="center"/>
        <w:rPr>
          <w:rFonts w:ascii="Times New Roman" w:hAnsi="Times New Roman"/>
          <w:b/>
          <w:caps/>
          <w:color w:val="000000"/>
          <w:sz w:val="24"/>
        </w:rPr>
      </w:pPr>
      <w:r>
        <w:rPr>
          <w:rFonts w:ascii="Times New Roman" w:hAnsi="Times New Roman"/>
          <w:b/>
          <w:caps/>
          <w:color w:val="000000"/>
          <w:sz w:val="24"/>
        </w:rPr>
        <w:t>ARTICLE VII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MISCELLANEOUS</w:t>
      </w:r>
    </w:p>
    <w:p>
      <w:pPr>
        <w:pStyle w:val="TextBody"/>
        <w:bidi w:val="0"/>
        <w:jc w:val="left"/>
        <w:rPr>
          <w:rFonts w:ascii="Times New Roman" w:hAnsi="Times New Roman"/>
          <w:sz w:val="20"/>
        </w:rPr>
      </w:pPr>
      <w:r>
        <w:rPr>
          <w:rFonts w:ascii="Times New Roman" w:hAnsi="Times New Roman"/>
          <w:b/>
          <w:color w:val="000000"/>
          <w:sz w:val="24"/>
        </w:rPr>
        <w:t xml:space="preserve">7.1 </w:t>
      </w:r>
      <w:r>
        <w:rPr>
          <w:rFonts w:ascii="Times New Roman" w:hAnsi="Times New Roman"/>
          <w:b/>
          <w:color w:val="000000"/>
          <w:sz w:val="24"/>
          <w:u w:val="single"/>
        </w:rPr>
        <w:t>Notices</w:t>
      </w:r>
      <w:r>
        <w:rPr>
          <w:rFonts w:ascii="Times New Roman" w:hAnsi="Times New Roman"/>
          <w:color w:val="000000"/>
          <w:sz w:val="24"/>
        </w:rPr>
        <w:t>. All notices, consents, confirmations, requests, permissions, waivers and other communications hereunder shall be in writing and shall be deemed to have been duly given (a) five Business Days following sending by registered or certified mail, postage prepaid; (b) when delivered, if before 5:00 p.m. U.S. Eastern time on a Business Day, or on the next succeeding Business Day otherwise, if delivered personally to the intended recipient; (c) one Business Day following sending by overnight delivery via a national or international courier service; or (d) when sent, if before 5:00 p.m. U.S. Eastern time on a Business Day, or on the next succeeding Business Day otherwise, if sent by email and either (x) return receipt or confirmation reply is subsequently received or (y) a copy is delivered personally or sent by overnight delivery via a national or international courier service within one Business Day thereafter, and, in each case, addressed to a party at the following address for such party:</w:t>
      </w:r>
    </w:p>
    <w:p>
      <w:pPr>
        <w:pStyle w:val="TextBody"/>
        <w:bidi w:val="0"/>
        <w:jc w:val="left"/>
        <w:rPr/>
      </w:pPr>
      <w:r>
        <w:rPr/>
        <w:t> </w:t>
      </w:r>
    </w:p>
    <w:tbl>
      <w:tblPr>
        <w:tblW w:w="3918" w:type="dxa"/>
        <w:jc w:val="left"/>
        <w:tblInd w:w="0" w:type="dxa"/>
        <w:tblLayout w:type="fixed"/>
        <w:tblCellMar>
          <w:top w:w="28" w:type="dxa"/>
          <w:left w:w="28" w:type="dxa"/>
          <w:bottom w:w="28" w:type="dxa"/>
          <w:right w:w="28" w:type="dxa"/>
        </w:tblCellMar>
      </w:tblPr>
      <w:tblGrid>
        <w:gridCol w:w="376"/>
        <w:gridCol w:w="1111"/>
        <w:gridCol w:w="2431"/>
      </w:tblGrid>
      <w:tr>
        <w:trPr/>
        <w:tc>
          <w:tcPr>
            <w:tcW w:w="37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Company, to:</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Liftoff Mobile, Inc.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900 Middlefield Road, 2</w:t>
            </w:r>
            <w:r>
              <w:rPr>
                <w:rFonts w:ascii="Times New Roman" w:hAnsi="Times New Roman"/>
                <w:color w:val="000000"/>
                <w:sz w:val="16"/>
              </w:rPr>
              <w:t>nd</w:t>
            </w:r>
            <w:r>
              <w:rPr>
                <w:rFonts w:ascii="Times New Roman" w:hAnsi="Times New Roman"/>
                <w:color w:val="000000"/>
                <w:sz w:val="24"/>
              </w:rPr>
              <w:t xml:space="preserve"> Floor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Redwood City, CA 94063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Email: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[email address]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Simpson Thacher &amp; Bartlett LLP</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 G Street N.W.</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Washington, D.C. 20001</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Joshua Ford Bonnie</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R. Ozner</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Katharine L. Thompson</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Email: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or to such other person or address as the Company shall furnish to the Stockholders in writing;</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3933" w:type="dxa"/>
        <w:jc w:val="left"/>
        <w:tblInd w:w="0" w:type="dxa"/>
        <w:tblLayout w:type="fixed"/>
        <w:tblCellMar>
          <w:top w:w="28" w:type="dxa"/>
          <w:left w:w="28" w:type="dxa"/>
          <w:bottom w:w="28" w:type="dxa"/>
          <w:right w:w="28" w:type="dxa"/>
        </w:tblCellMar>
      </w:tblPr>
      <w:tblGrid>
        <w:gridCol w:w="391"/>
        <w:gridCol w:w="1111"/>
        <w:gridCol w:w="2431"/>
      </w:tblGrid>
      <w:tr>
        <w:trPr/>
        <w:tc>
          <w:tcPr>
            <w:tcW w:w="39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Blackstone, to:</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BCP Redbird Aggregator L.P.</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 The Blackstone Group Inc.</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345 Park Avenue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York, NY 10154</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Sachin Bavishi</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Yip</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Simpson Thacher &amp; Bartlett LLP</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 G Street N.W.</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Washington, D.C. 20001</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Joshua Ford Bonnie</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R. Ozner</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Katharine L. Thompson</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or to such other person or address as Blackstone shall furnish to the Company and the other Stockholders in writing;</w:t>
      </w:r>
    </w:p>
    <w:p>
      <w:pPr>
        <w:pStyle w:val="TextBody"/>
        <w:bidi w:val="0"/>
        <w:jc w:val="left"/>
        <w:rPr/>
      </w:pPr>
      <w:r>
        <w:rPr/>
        <w:t> </w:t>
      </w:r>
    </w:p>
    <w:tbl>
      <w:tblPr>
        <w:tblW w:w="6856" w:type="dxa"/>
        <w:jc w:val="left"/>
        <w:tblInd w:w="0" w:type="dxa"/>
        <w:tblLayout w:type="fixed"/>
        <w:tblCellMar>
          <w:top w:w="28" w:type="dxa"/>
          <w:left w:w="28" w:type="dxa"/>
          <w:bottom w:w="28" w:type="dxa"/>
          <w:right w:w="28" w:type="dxa"/>
        </w:tblCellMar>
      </w:tblPr>
      <w:tblGrid>
        <w:gridCol w:w="376"/>
        <w:gridCol w:w="2592"/>
        <w:gridCol w:w="3888"/>
      </w:tblGrid>
      <w:tr>
        <w:trPr/>
        <w:tc>
          <w:tcPr>
            <w:tcW w:w="376"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Founders, to:</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Ellis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pPr>
            <w:r>
              <w:rPr/>
              <w:t> </w:t>
            </w:r>
          </w:p>
        </w:tc>
        <w:tc>
          <w:tcPr>
            <w:tcW w:w="38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Phil Crosby</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pPr>
            <w:r>
              <w:rPr/>
              <w:t> </w:t>
            </w:r>
          </w:p>
        </w:tc>
        <w:tc>
          <w:tcPr>
            <w:tcW w:w="38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Harry Robertson</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Gunderson Dettmer Stough Villeneuve Franklin &amp; Hachigian LLP</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550 Allerton Avenue</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Redwood City, CA 94063</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3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Trevor Knapp</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056" w:type="dxa"/>
        <w:jc w:val="left"/>
        <w:tblInd w:w="0" w:type="dxa"/>
        <w:tblLayout w:type="fixed"/>
        <w:tblCellMar>
          <w:top w:w="28" w:type="dxa"/>
          <w:left w:w="28" w:type="dxa"/>
          <w:bottom w:w="28" w:type="dxa"/>
          <w:right w:w="28" w:type="dxa"/>
        </w:tblCellMar>
      </w:tblPr>
      <w:tblGrid>
        <w:gridCol w:w="391"/>
        <w:gridCol w:w="1752"/>
        <w:gridCol w:w="2913"/>
      </w:tblGrid>
      <w:tr>
        <w:trPr/>
        <w:tc>
          <w:tcPr>
            <w:tcW w:w="39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General Atlantic, to:</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Atlantic, L.P.</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55 East 52nd Street, 32nd Floor</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York, NY 10055</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Gordon Cruess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Tanzeen Syed</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Frederick Robson</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Paul, Weiss, Rifkind, Wharton &amp; Garrison LLP</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1285 Avenue of the Americas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York, New York 10019</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Matthew Abbott</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Brian Lavin</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Austin Pollet</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2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7.2 </w:t>
      </w:r>
      <w:r>
        <w:rPr>
          <w:rFonts w:ascii="Times New Roman" w:hAnsi="Times New Roman"/>
          <w:b/>
          <w:color w:val="000000"/>
          <w:sz w:val="24"/>
          <w:u w:val="single"/>
        </w:rPr>
        <w:t>Section Headings</w:t>
      </w:r>
      <w:r>
        <w:rPr>
          <w:rFonts w:ascii="Times New Roman" w:hAnsi="Times New Roman"/>
          <w:color w:val="000000"/>
          <w:sz w:val="24"/>
        </w:rPr>
        <w:t>. The article and section headings in this Agreement are for reference purposes only and shall not affect the meaning or interpretation of this Agreement. References in this Agreement to a designated “Article” or “Section” refer to an Article or Section of this Agreement unless otherwise specifically indicated.</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7.3 </w:t>
      </w:r>
      <w:r>
        <w:rPr>
          <w:rFonts w:ascii="Times New Roman" w:hAnsi="Times New Roman"/>
          <w:b/>
          <w:color w:val="000000"/>
          <w:sz w:val="24"/>
          <w:u w:val="single"/>
        </w:rPr>
        <w:t>Governing Law</w:t>
      </w:r>
      <w:r>
        <w:rPr>
          <w:rFonts w:ascii="Times New Roman" w:hAnsi="Times New Roman"/>
          <w:color w:val="000000"/>
          <w:sz w:val="24"/>
        </w:rPr>
        <w:t>. This Agreement shall be governed by and construed in accordance with the laws of the State of New York.</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7.4 </w:t>
      </w:r>
      <w:r>
        <w:rPr>
          <w:rFonts w:ascii="Times New Roman" w:hAnsi="Times New Roman"/>
          <w:b/>
          <w:color w:val="000000"/>
          <w:sz w:val="24"/>
          <w:u w:val="single"/>
        </w:rPr>
        <w:t>Waiver of Jury Trial</w:t>
      </w:r>
      <w:r>
        <w:rPr>
          <w:rFonts w:ascii="Times New Roman" w:hAnsi="Times New Roman"/>
          <w:color w:val="000000"/>
          <w:sz w:val="24"/>
        </w:rPr>
        <w:t>. Each of the parties hereto hereby irrevocably waives any and all right to trial by jury in any legal proceeding arising out of or related to this Agreement or the transactions contemplated hereby.</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7.5 </w:t>
      </w:r>
      <w:r>
        <w:rPr>
          <w:rFonts w:ascii="Times New Roman" w:hAnsi="Times New Roman"/>
          <w:b/>
          <w:color w:val="000000"/>
          <w:sz w:val="24"/>
          <w:u w:val="single"/>
        </w:rPr>
        <w:t>Consent to Jurisdiction and Service of Process</w:t>
      </w:r>
      <w:r>
        <w:rPr>
          <w:rFonts w:ascii="Times New Roman" w:hAnsi="Times New Roman"/>
          <w:color w:val="000000"/>
          <w:sz w:val="24"/>
        </w:rPr>
        <w:t>. The parties to this Agreement hereby agree to submit to the jurisdiction of the courts of the State of New York, the courts of the United States of America for the Southern District of New York, and appellate courts from any thereof in any action or proceeding arising out of or relating to this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7.6 </w:t>
      </w:r>
      <w:r>
        <w:rPr>
          <w:rFonts w:ascii="Times New Roman" w:hAnsi="Times New Roman"/>
          <w:b/>
          <w:color w:val="000000"/>
          <w:sz w:val="24"/>
          <w:u w:val="single"/>
        </w:rPr>
        <w:t>Amendments</w:t>
      </w:r>
      <w:r>
        <w:rPr>
          <w:rFonts w:ascii="Times New Roman" w:hAnsi="Times New Roman"/>
          <w:color w:val="000000"/>
          <w:sz w:val="24"/>
        </w:rPr>
        <w:t xml:space="preserve">. This Agreement may be amended only by an instrument in writing executed by the Company and the Blackstone Stockholders holding a majority of the shares collectively held by them; provided that an amendment to this Agreement that has a material and adverse effect on the rights of the Founders shall require the written consent of the Founder Majority Holders; provided, further, that an amendment to this Agreement that is disproportionately adverse to the rights of the General Atlantic Stockholders relative to the Blackstone Stockholders or the Founders shall require the written consent of the majority in voting power of the General Atlantic Stockholders. Any such amendment will apply to all Stockholders equally, without distinguishing between them. This Agreement will terminate as to any Stockholder when it no longer holds any shares and the Company has fulfilled all of its obligations with respect to shares previously sold by such Stockholder in one or more registered offerings covered by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Blackstone Stockholder, Founder or General Atlantic Stockholder may at any time in its sole discretion withdraw from this Agreement by written notice to the Company, at which time this Agreement will terminate as to such Blackstone Stockholder, Founder or General Atlantic Stockholder.</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7.7 </w:t>
      </w:r>
      <w:r>
        <w:rPr>
          <w:rFonts w:ascii="Times New Roman" w:hAnsi="Times New Roman"/>
          <w:b/>
          <w:color w:val="000000"/>
          <w:sz w:val="24"/>
          <w:u w:val="single"/>
        </w:rPr>
        <w:t>Entire Agreement</w:t>
      </w:r>
      <w:r>
        <w:rPr>
          <w:rFonts w:ascii="Times New Roman" w:hAnsi="Times New Roman"/>
          <w:color w:val="000000"/>
          <w:sz w:val="24"/>
        </w:rPr>
        <w:t>. This Agreement constitutes the entire agreement and understanding of the parties with respect to the transactions contemplated hereby and thereby. The registration rights granted under this Agreement supersede any registration, qualification or similar rights with respect to any of the shares granted to one or more Stockholders under any other agreement, and any of such preexisting registration rights are hereby terminated.</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7.8 </w:t>
      </w:r>
      <w:r>
        <w:rPr>
          <w:rFonts w:ascii="Times New Roman" w:hAnsi="Times New Roman"/>
          <w:b/>
          <w:color w:val="000000"/>
          <w:sz w:val="24"/>
          <w:u w:val="single"/>
        </w:rPr>
        <w:t>Severability</w:t>
      </w:r>
      <w:r>
        <w:rPr>
          <w:rFonts w:ascii="Times New Roman" w:hAnsi="Times New Roman"/>
          <w:color w:val="000000"/>
          <w:sz w:val="24"/>
        </w:rPr>
        <w:t>. The invalidity or unenforceability of any specific provision of this Agreement shall not invalidate or render unenforceable any of its other provisions. Any provision of this Agreement held invalid or unenforceable shall be deemed reformed, if practicable, to the extent necessary to render it valid and enforceable and to the extent permitted by law and consistent with the intent of the parties to this Agreement.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7.9 </w:t>
      </w:r>
      <w:r>
        <w:rPr>
          <w:rFonts w:ascii="Times New Roman" w:hAnsi="Times New Roman"/>
          <w:b/>
          <w:color w:val="000000"/>
          <w:sz w:val="24"/>
          <w:u w:val="single"/>
        </w:rPr>
        <w:t>Counterparts</w:t>
      </w:r>
      <w:r>
        <w:rPr>
          <w:rFonts w:ascii="Times New Roman" w:hAnsi="Times New Roman"/>
          <w:color w:val="000000"/>
          <w:sz w:val="24"/>
        </w:rPr>
        <w:t>. This Agreement may be executed in multiple counterparts, including by means of facsimile, each of which shall be deemed an original, but all of which together shall constitute the same instrument.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7.10 </w:t>
      </w:r>
      <w:r>
        <w:rPr>
          <w:rFonts w:ascii="Times New Roman" w:hAnsi="Times New Roman"/>
          <w:b/>
          <w:color w:val="000000"/>
          <w:sz w:val="24"/>
          <w:u w:val="single"/>
        </w:rPr>
        <w:t>Third Party</w:t>
      </w:r>
      <w:r>
        <w:rPr>
          <w:rFonts w:ascii="Times New Roman" w:hAnsi="Times New Roman"/>
          <w:color w:val="000000"/>
          <w:sz w:val="20"/>
          <w:u w:val="single"/>
        </w:rPr>
        <w:t xml:space="preserve"> </w:t>
      </w:r>
      <w:r>
        <w:rPr>
          <w:rFonts w:ascii="Times New Roman" w:hAnsi="Times New Roman"/>
          <w:b/>
          <w:color w:val="000000"/>
          <w:sz w:val="24"/>
          <w:u w:val="single"/>
        </w:rPr>
        <w:t>Beneficiaries</w:t>
      </w:r>
      <w:r>
        <w:rPr>
          <w:rFonts w:ascii="Times New Roman" w:hAnsi="Times New Roman"/>
          <w:color w:val="000000"/>
          <w:sz w:val="24"/>
        </w:rPr>
        <w:t>. Except as specifically provided below, this Agreement (including the documents and instruments referred to in this Agreement) is not intended to and does not confer upon any person other than the parties hereto any rights or remedies under this Agreement. Notwithstanding any provision hereof to the contrary, no consent, approval or agreement of any third-party beneficiary will be required to amend, modify or waive any provision of this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7.11 </w:t>
      </w:r>
      <w:r>
        <w:rPr>
          <w:rFonts w:ascii="Times New Roman" w:hAnsi="Times New Roman"/>
          <w:b/>
          <w:color w:val="000000"/>
          <w:sz w:val="24"/>
          <w:u w:val="single"/>
        </w:rPr>
        <w:t>Equitable Remedies</w:t>
      </w:r>
      <w:r>
        <w:rPr>
          <w:rFonts w:ascii="Times New Roman" w:hAnsi="Times New Roman"/>
          <w:color w:val="000000"/>
          <w:sz w:val="24"/>
        </w:rPr>
        <w:t>. The parties hereto agree that irreparable harm would occur in the event that any of the agreements and provisions of this Agreement were not performed fully by the parties hereto in accordance with their specific terms or conditions or were otherwise breached, and that money damages are an inadequate remedy for breach of this Agreement because of the difficulty of ascertaining and quantifying the amount of damage that will be suffered by the parties hereto in the event that this Agreement is not performed in accordance with its terms or conditions or is otherwise breached. It is accordingly hereby agreed that the parties hereto shall be entitled to an injunction or injunctions to restrain, enjoin and prevent breaches of this Agreement by the other parties and to enforce specifically the terms and provisions hereof in any court of the United States or any state having jurisdiction, such remedy being in addition to and not in lieu of, any other rights and remedies to which the other parties are entitled to at law or in equity.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7.12 </w:t>
      </w:r>
      <w:r>
        <w:rPr>
          <w:rFonts w:ascii="Times New Roman" w:hAnsi="Times New Roman"/>
          <w:b/>
          <w:color w:val="000000"/>
          <w:sz w:val="24"/>
          <w:u w:val="single"/>
        </w:rPr>
        <w:t>No Inconsistent Agreements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From and after the date of this Agreement, the Company shall not enter into any agreement with any person, including any holder or prospective holder of any securities of the Company, giving or granting any registration (or related) rights the terms of which are more favorable than, senior to or conflict with, the registration or other rights granted to Stockholders hereunder.</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[Rest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each of the parties hereto has caused a counterpart of this Agreement to be duly executed and delivered as of the date first written above.</w:t>
      </w:r>
    </w:p>
    <w:tbl>
      <w:tblPr>
        <w:tblW w:w="2895" w:type="dxa"/>
        <w:jc w:val="left"/>
        <w:tblInd w:w="0" w:type="dxa"/>
        <w:tblLayout w:type="fixed"/>
        <w:tblCellMar>
          <w:top w:w="28" w:type="dxa"/>
          <w:left w:w="28" w:type="dxa"/>
          <w:bottom w:w="28" w:type="dxa"/>
          <w:right w:w="28" w:type="dxa"/>
        </w:tblCellMar>
      </w:tblPr>
      <w:tblGrid>
        <w:gridCol w:w="488"/>
        <w:gridCol w:w="2407"/>
      </w:tblGrid>
      <w:tr>
        <w:trPr/>
        <w:tc>
          <w:tcPr>
            <w:tcW w:w="488"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r>
      <w:tr>
        <w:trPr/>
        <w:tc>
          <w:tcPr>
            <w:tcW w:w="28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LIFTOFF MOBILE, INC.</w:t>
            </w:r>
          </w:p>
        </w:tc>
      </w:tr>
      <w:tr>
        <w:trPr/>
        <w:tc>
          <w:tcPr>
            <w:tcW w:w="488" w:type="dxa"/>
            <w:tcBorders/>
            <w:tcMar>
              <w:top w:w="0" w:type="dxa"/>
              <w:left w:w="0" w:type="dxa"/>
              <w:bottom w:w="0" w:type="dxa"/>
              <w:right w:w="0" w:type="dxa"/>
            </w:tcMar>
            <w:vAlign w:val="center"/>
          </w:tcPr>
          <w:p>
            <w:pPr>
              <w:pStyle w:val="TableContents"/>
              <w:bidi w:val="0"/>
              <w:spacing w:before="0" w:after="283"/>
              <w:jc w:val="left"/>
              <w:rPr/>
            </w:pPr>
            <w:r>
              <w:rPr/>
              <w:t> </w:t>
            </w:r>
          </w:p>
        </w:tc>
        <w:tc>
          <w:tcPr>
            <w:tcW w:w="24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4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 Susan Hansen </w:t>
            </w:r>
          </w:p>
        </w:tc>
      </w:tr>
      <w:tr>
        <w:trPr/>
        <w:tc>
          <w:tcPr>
            <w:tcW w:w="488" w:type="dxa"/>
            <w:tcBorders/>
            <w:tcMar>
              <w:top w:w="0" w:type="dxa"/>
              <w:left w:w="0" w:type="dxa"/>
              <w:bottom w:w="0" w:type="dxa"/>
              <w:right w:w="0" w:type="dxa"/>
            </w:tcMar>
            <w:vAlign w:val="center"/>
          </w:tcPr>
          <w:p>
            <w:pPr>
              <w:pStyle w:val="TableContents"/>
              <w:bidi w:val="0"/>
              <w:spacing w:before="0" w:after="283"/>
              <w:jc w:val="left"/>
              <w:rPr/>
            </w:pPr>
            <w:r>
              <w:rPr/>
              <w:t> </w:t>
            </w:r>
          </w:p>
        </w:tc>
        <w:tc>
          <w:tcPr>
            <w:tcW w:w="24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Susan Hansen</w:t>
            </w:r>
          </w:p>
        </w:tc>
      </w:tr>
      <w:tr>
        <w:trPr/>
        <w:tc>
          <w:tcPr>
            <w:tcW w:w="488" w:type="dxa"/>
            <w:tcBorders/>
            <w:tcMar>
              <w:top w:w="0" w:type="dxa"/>
              <w:left w:w="0" w:type="dxa"/>
              <w:bottom w:w="0" w:type="dxa"/>
              <w:right w:w="0" w:type="dxa"/>
            </w:tcMar>
            <w:vAlign w:val="center"/>
          </w:tcPr>
          <w:p>
            <w:pPr>
              <w:pStyle w:val="TableContents"/>
              <w:bidi w:val="0"/>
              <w:spacing w:before="0" w:after="283"/>
              <w:jc w:val="left"/>
              <w:rPr/>
            </w:pPr>
            <w:r>
              <w:rPr/>
              <w:t> </w:t>
            </w:r>
          </w:p>
        </w:tc>
        <w:tc>
          <w:tcPr>
            <w:tcW w:w="24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General Counsel</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534"/>
        <w:gridCol w:w="3651"/>
      </w:tblGrid>
      <w:tr>
        <w:trPr/>
        <w:tc>
          <w:tcPr>
            <w:tcW w:w="534"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BCP REDBIRD AGGREGATOR L.P.</w:t>
            </w:r>
          </w:p>
        </w:tc>
      </w:tr>
      <w:tr>
        <w:trPr/>
        <w:tc>
          <w:tcPr>
            <w:tcW w:w="534" w:type="dxa"/>
            <w:tcBorders/>
            <w:tcMar>
              <w:top w:w="0" w:type="dxa"/>
              <w:left w:w="0" w:type="dxa"/>
              <w:bottom w:w="0" w:type="dxa"/>
              <w:right w:w="0" w:type="dxa"/>
            </w:tcMar>
            <w:vAlign w:val="center"/>
          </w:tcPr>
          <w:p>
            <w:pPr>
              <w:pStyle w:val="TableContents"/>
              <w:bidi w:val="0"/>
              <w:spacing w:before="0" w:after="283"/>
              <w:jc w:val="left"/>
              <w:rPr/>
            </w:pPr>
            <w:r>
              <w:rPr/>
              <w:t> </w:t>
            </w:r>
          </w:p>
        </w:tc>
        <w:tc>
          <w:tcPr>
            <w:tcW w:w="3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Sachin Bavishi</w:t>
            </w:r>
          </w:p>
        </w:tc>
      </w:tr>
      <w:tr>
        <w:trPr/>
        <w:tc>
          <w:tcPr>
            <w:tcW w:w="534" w:type="dxa"/>
            <w:tcBorders/>
            <w:tcMar>
              <w:top w:w="0" w:type="dxa"/>
              <w:left w:w="0" w:type="dxa"/>
              <w:bottom w:w="0" w:type="dxa"/>
              <w:right w:w="0" w:type="dxa"/>
            </w:tcMar>
            <w:vAlign w:val="center"/>
          </w:tcPr>
          <w:p>
            <w:pPr>
              <w:pStyle w:val="TableContents"/>
              <w:bidi w:val="0"/>
              <w:spacing w:before="0" w:after="283"/>
              <w:jc w:val="left"/>
              <w:rPr/>
            </w:pPr>
            <w:r>
              <w:rPr/>
              <w:t> </w:t>
            </w:r>
          </w:p>
        </w:tc>
        <w:tc>
          <w:tcPr>
            <w:tcW w:w="3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Sachin Bavishi</w:t>
            </w:r>
          </w:p>
        </w:tc>
      </w:tr>
      <w:tr>
        <w:trPr/>
        <w:tc>
          <w:tcPr>
            <w:tcW w:w="534" w:type="dxa"/>
            <w:tcBorders/>
            <w:tcMar>
              <w:top w:w="0" w:type="dxa"/>
              <w:left w:w="0" w:type="dxa"/>
              <w:bottom w:w="0" w:type="dxa"/>
              <w:right w:w="0" w:type="dxa"/>
            </w:tcMar>
            <w:vAlign w:val="center"/>
          </w:tcPr>
          <w:p>
            <w:pPr>
              <w:pStyle w:val="TableContents"/>
              <w:bidi w:val="0"/>
              <w:spacing w:before="0" w:after="283"/>
              <w:jc w:val="left"/>
              <w:rPr/>
            </w:pPr>
            <w:r>
              <w:rPr/>
              <w:t> </w:t>
            </w:r>
          </w:p>
        </w:tc>
        <w:tc>
          <w:tcPr>
            <w:tcW w:w="3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Senior Managing Director</w:t>
            </w:r>
          </w:p>
        </w:tc>
      </w:tr>
    </w:tbl>
    <w:p>
      <w:pPr>
        <w:pStyle w:val="TextBody"/>
        <w:bidi w:val="0"/>
        <w:jc w:val="left"/>
        <w:rPr/>
      </w:pPr>
      <w:r>
        <w:rPr/>
        <w:t> </w:t>
      </w:r>
    </w:p>
    <w:p>
      <w:pPr>
        <w:pStyle w:val="TextBody"/>
        <w:bidi w:val="0"/>
        <w:jc w:val="left"/>
        <w:rPr/>
      </w:pPr>
      <w:r>
        <w:rPr/>
        <w:t> </w:t>
      </w:r>
    </w:p>
    <w:tbl>
      <w:tblPr>
        <w:tblW w:w="3990" w:type="dxa"/>
        <w:jc w:val="left"/>
        <w:tblInd w:w="0" w:type="dxa"/>
        <w:tblLayout w:type="fixed"/>
        <w:tblCellMar>
          <w:top w:w="28" w:type="dxa"/>
          <w:left w:w="28" w:type="dxa"/>
          <w:bottom w:w="28" w:type="dxa"/>
          <w:right w:w="28" w:type="dxa"/>
        </w:tblCellMar>
      </w:tblPr>
      <w:tblGrid>
        <w:gridCol w:w="610"/>
        <w:gridCol w:w="3380"/>
      </w:tblGrid>
      <w:tr>
        <w:trPr/>
        <w:tc>
          <w:tcPr>
            <w:tcW w:w="61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39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GENERAL ATLANTIC (LFT), L.P.</w:t>
            </w:r>
          </w:p>
        </w:tc>
      </w:tr>
      <w:tr>
        <w:trPr/>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33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3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 Gordon Cruess</w:t>
            </w:r>
          </w:p>
        </w:tc>
      </w:tr>
      <w:tr>
        <w:trPr/>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3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 Gordon Cruess</w:t>
            </w:r>
          </w:p>
        </w:tc>
      </w:tr>
      <w:tr>
        <w:trPr/>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3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Managing 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–Registration Rights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0" w:name="iron-ex10_2.htm"/>
      <w:bookmarkStart w:id="11" w:name="ksironex10_2"/>
      <w:bookmarkEnd w:id="10"/>
      <w:bookmarkEnd w:id="11"/>
      <w:r>
        <w:rPr>
          <w:rFonts w:ascii="Times New Roman" w:hAnsi="Times New Roman"/>
          <w:b/>
          <w:color w:val="000000"/>
          <w:sz w:val="24"/>
        </w:rPr>
        <w:t>Exhibit 10.2</w:t>
      </w:r>
      <w:r>
        <w:br w:type="page"/>
      </w:r>
    </w:p>
    <w:p>
      <w:pPr>
        <w:pStyle w:val="TextBody"/>
        <w:bidi w:val="0"/>
        <w:jc w:val="right"/>
        <w:rPr/>
      </w:pPr>
      <w:r>
        <w:rPr/>
        <w:t> </w:t>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STOCKHOLDERS AGREEMENT</w:t>
      </w:r>
    </w:p>
    <w:p>
      <w:pPr>
        <w:pStyle w:val="TextBody"/>
        <w:bidi w:val="0"/>
        <w:spacing w:before="0" w:after="240"/>
        <w:jc w:val="center"/>
        <w:rPr>
          <w:rFonts w:ascii="Times New Roman" w:hAnsi="Times New Roman"/>
          <w:sz w:val="20"/>
        </w:rPr>
      </w:pPr>
      <w:r>
        <w:rPr>
          <w:rFonts w:ascii="Times New Roman" w:hAnsi="Times New Roman"/>
          <w:b/>
          <w:caps/>
          <w:color w:val="000000"/>
          <w:sz w:val="24"/>
        </w:rPr>
        <w:t>DATED AS OF JUNE 3, 2026</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LIFTOFF MOBILE,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BCP Redbird Aggregator L.P.</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tbl>
      <w:tblPr>
        <w:tblW w:w="8326" w:type="dxa"/>
        <w:jc w:val="left"/>
        <w:tblInd w:w="0" w:type="dxa"/>
        <w:tblLayout w:type="fixed"/>
        <w:tblCellMar>
          <w:top w:w="28" w:type="dxa"/>
          <w:left w:w="28" w:type="dxa"/>
          <w:bottom w:w="28" w:type="dxa"/>
          <w:right w:w="28" w:type="dxa"/>
        </w:tblCellMar>
      </w:tblPr>
      <w:tblGrid>
        <w:gridCol w:w="2066"/>
        <w:gridCol w:w="4429"/>
        <w:gridCol w:w="1831"/>
      </w:tblGrid>
      <w:tr>
        <w:trPr/>
        <w:tc>
          <w:tcPr>
            <w:tcW w:w="2066" w:type="dxa"/>
            <w:tcBorders/>
            <w:vAlign w:val="center"/>
          </w:tcPr>
          <w:p>
            <w:pPr>
              <w:pStyle w:val="TableContents"/>
              <w:bidi w:val="0"/>
              <w:spacing w:before="0" w:after="283"/>
              <w:jc w:val="left"/>
              <w:rPr>
                <w:sz w:val="4"/>
                <w:szCs w:val="4"/>
              </w:rPr>
            </w:pPr>
            <w:r>
              <w:rPr>
                <w:sz w:val="4"/>
                <w:szCs w:val="4"/>
              </w:rPr>
            </w:r>
          </w:p>
        </w:tc>
        <w:tc>
          <w:tcPr>
            <w:tcW w:w="442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w:t>
            </w:r>
            <w:r>
              <w:rPr>
                <w:rFonts w:ascii="Times New Roman" w:hAnsi="Times New Roman"/>
                <w:color w:val="000000"/>
                <w:sz w:val="24"/>
              </w:rPr>
              <w:t> INTRODUCTORY MATTERS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1.1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Defined Terms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1.2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w:t>
            </w:r>
            <w:r>
              <w:rPr>
                <w:rFonts w:ascii="Times New Roman" w:hAnsi="Times New Roman"/>
                <w:color w:val="000000"/>
                <w:sz w:val="24"/>
              </w:rPr>
              <w:t> CORPORATE GOVERNANCE MATTERS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Election of Directors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2.3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Board Committees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III.</w:t>
            </w:r>
            <w:r>
              <w:rPr>
                <w:rFonts w:ascii="Times New Roman" w:hAnsi="Times New Roman"/>
                <w:color w:val="000000"/>
                <w:sz w:val="24"/>
              </w:rPr>
              <w:t> INFORMATION; VCOC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VCOC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3.5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 Sharing</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IV.</w:t>
            </w:r>
            <w:r>
              <w:rPr>
                <w:rFonts w:ascii="Times New Roman" w:hAnsi="Times New Roman"/>
                <w:color w:val="000000"/>
                <w:sz w:val="24"/>
              </w:rPr>
              <w:t> ADDITIONAL COVENANTS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Pledges or 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Spin-Offs or Split-Offs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4.3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 Reimbursement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w:t>
            </w:r>
            <w:r>
              <w:rPr>
                <w:rFonts w:ascii="Times New Roman" w:hAnsi="Times New Roman"/>
                <w:color w:val="000000"/>
                <w:sz w:val="24"/>
              </w:rPr>
              <w:t> INDEMNIFICATION; LIABILITY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of Designating Stockholder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Jointly Indemnifiable 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Non-Exclusive Right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 and Officers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5.5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Rights of Designees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VI.</w:t>
            </w:r>
            <w:r>
              <w:rPr>
                <w:rFonts w:ascii="Times New Roman" w:hAnsi="Times New Roman"/>
                <w:color w:val="000000"/>
                <w:sz w:val="24"/>
              </w:rPr>
              <w:t> GENERAL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6.6</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6.7</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6.8</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6.9</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6.10</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6.11</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6.12</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and Captions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6.13</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of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6.14</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6.15</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Effectiveness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6.16</w:t>
            </w:r>
          </w:p>
        </w:tc>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STOCKHOLDERS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Stockholders Agreement is entered into as of June 3, 2026 between Liftoff Mobile,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other parties from time to time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0" w:after="240"/>
        <w:jc w:val="left"/>
        <w:rPr>
          <w:rFonts w:ascii="Times New Roman" w:hAnsi="Times New Roman"/>
          <w:sz w:val="20"/>
        </w:rPr>
      </w:pPr>
      <w:r>
        <w:rPr>
          <w:rFonts w:ascii="Times New Roman" w:hAnsi="Times New Roman"/>
          <w:color w:val="000000"/>
          <w:sz w:val="24"/>
        </w:rPr>
        <w:t>WHEREAS, the Company is effecting an underwritten initial public offering (“</w:t>
      </w:r>
      <w:r>
        <w:rPr>
          <w:rFonts w:ascii="Times New Roman" w:hAnsi="Times New Roman"/>
          <w:color w:val="000000"/>
          <w:sz w:val="24"/>
          <w:u w:val="single"/>
        </w:rPr>
        <w:t>IPO</w:t>
      </w:r>
      <w:r>
        <w:rPr>
          <w:rFonts w:ascii="Times New Roman" w:hAnsi="Times New Roman"/>
          <w:color w:val="000000"/>
          <w:sz w:val="20"/>
        </w:rPr>
        <w:t>”</w:t>
      </w:r>
      <w:r>
        <w:rPr>
          <w:rFonts w:ascii="Times New Roman" w:hAnsi="Times New Roman"/>
          <w:color w:val="000000"/>
          <w:sz w:val="24"/>
        </w:rPr>
        <w:t>) of shares of its Common Stock (as defined below);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the IPO, the Company and the Designating Stockholders (as defined below) wish to set forth certain understandings between such parties, including with respect to certain governance matters.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the parties agree as follows:</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INTRODUCTORY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Defined Terms</w:t>
      </w:r>
      <w:r>
        <w:rPr>
          <w:rFonts w:ascii="Times New Roman" w:hAnsi="Times New Roman"/>
          <w:color w:val="000000"/>
          <w:sz w:val="24"/>
        </w:rPr>
        <w:t>. In addition to the terms defined elsewhere herein, the following terms have the following meanings when used herein with initial capital letters: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has the meaning set forth in Rule 12b-2 promulgated under the Exchange Act, as in effect on the date 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notwithstanding the foregoing, an Affiliate shall not include any Portfolio Company of any Person or the Designating Stockholders and neither the Company nor any of its Affiliates shall be deemed an Affiliate of a Designating Stockholder or its Affiliates or Portfolio Companies.</w:t>
      </w:r>
    </w:p>
    <w:p>
      <w:pPr>
        <w:pStyle w:val="TextBody"/>
        <w:bidi w:val="0"/>
        <w:spacing w:before="0" w:after="24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 this Stockholders Agreement, as the same may be amended, supplemented, restated or otherwise modified from time to time in accordance with the terms hereof.</w:t>
      </w:r>
    </w:p>
    <w:p>
      <w:pPr>
        <w:pStyle w:val="TextBody"/>
        <w:bidi w:val="0"/>
        <w:spacing w:before="0" w:after="240"/>
        <w:jc w:val="left"/>
        <w:rPr/>
      </w:pPr>
      <w:r>
        <w:rPr>
          <w:color w:val="000000"/>
        </w:rPr>
        <w:t>“</w:t>
      </w:r>
      <w:r>
        <w:rPr>
          <w:rFonts w:ascii="Times New Roman" w:hAnsi="Times New Roman"/>
          <w:color w:val="000000"/>
          <w:sz w:val="24"/>
          <w:u w:val="single"/>
        </w:rPr>
        <w:t>Beneficially Own</w:t>
      </w:r>
      <w:r>
        <w:rPr>
          <w:rFonts w:ascii="Times New Roman" w:hAnsi="Times New Roman"/>
          <w:color w:val="000000"/>
          <w:sz w:val="20"/>
        </w:rPr>
        <w:t xml:space="preserve">” </w:t>
      </w:r>
      <w:r>
        <w:rPr>
          <w:rFonts w:ascii="Times New Roman" w:hAnsi="Times New Roman"/>
          <w:color w:val="000000"/>
          <w:sz w:val="24"/>
        </w:rPr>
        <w:t>has the meaning set forth in Rule 13d-3 promulgated under the Exchange Act.</w:t>
      </w:r>
    </w:p>
    <w:p>
      <w:pPr>
        <w:pStyle w:val="TextBody"/>
        <w:bidi w:val="0"/>
        <w:spacing w:before="0" w:after="240"/>
        <w:jc w:val="left"/>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a Sunday, or a holiday on which national banking associations in the State of New York are authorized by law to close.</w:t>
      </w:r>
    </w:p>
    <w:p>
      <w:pPr>
        <w:pStyle w:val="TextBody"/>
        <w:bidi w:val="0"/>
        <w:spacing w:before="0" w:after="240"/>
        <w:jc w:val="left"/>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shares of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pStyle w:val="TextBody"/>
        <w:bidi w:val="0"/>
        <w:spacing w:before="0" w:after="240"/>
        <w:jc w:val="left"/>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 xml:space="preserve">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Confidential Information does not include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that is or has become publicly available other than as a result of a disclosure by a Designating Stockholder or its designated representatives in violation of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(ii) that was already known to a Designating Stockholder or its designated representatives or was in the possession of a Designating Stockholder or its designated representatives prior to its being furnished by or on behalf of the Company or its designated representatives;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that is received by a Designating Stockholder or its designated representatives from a source other than the Company or its designated representatives, </w:t>
      </w:r>
      <w:r>
        <w:rPr>
          <w:rFonts w:ascii="Times New Roman" w:hAnsi="Times New Roman"/>
          <w:i/>
          <w:color w:val="000000"/>
          <w:sz w:val="24"/>
        </w:rPr>
        <w:t>provided</w:t>
      </w:r>
      <w:r>
        <w:rPr>
          <w:rFonts w:ascii="Times New Roman" w:hAnsi="Times New Roman"/>
          <w:color w:val="000000"/>
          <w:sz w:val="24"/>
        </w:rPr>
        <w:t>, that the source of such information was not actually known by a Designating Stockholder or designated representative to be bound by a confidentiality agreement with, or other contractual obligation of confidentiality to,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that was independently developed or acquired by a Designating Stockholder or its designated representatives or on its or their behalf without the violation of the terms of this Agreement.</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0"/>
        </w:rPr>
        <w:t>”</w:t>
      </w:r>
      <w:r>
        <w:rPr>
          <w:rFonts w:ascii="Times New Roman" w:hAnsi="Times New Roman"/>
          <w:color w:val="000000"/>
          <w:sz w:val="24"/>
        </w:rPr>
        <w:t>) means possession, directly or indirectly, of the power to direct or cause the direction of management or policies (whether through ownership of securities or partnership or other ownership interests, by contract or otherwise) of a Person.</w:t>
      </w:r>
    </w:p>
    <w:p>
      <w:pPr>
        <w:pStyle w:val="TextBody"/>
        <w:bidi w:val="0"/>
        <w:spacing w:before="0" w:after="240"/>
        <w:jc w:val="left"/>
        <w:rPr/>
      </w:pPr>
      <w:r>
        <w:rPr>
          <w:color w:val="000000"/>
        </w:rPr>
        <w:t>“</w:t>
      </w:r>
      <w:r>
        <w:rPr>
          <w:rFonts w:ascii="Times New Roman" w:hAnsi="Times New Roman"/>
          <w:color w:val="000000"/>
          <w:sz w:val="24"/>
          <w:u w:val="single"/>
        </w:rPr>
        <w:t>Designating Stockholders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Blackstone</w:t>
      </w:r>
      <w:r>
        <w:rPr>
          <w:rFonts w:ascii="Times New Roman" w:hAnsi="Times New Roman"/>
          <w:color w:val="000000"/>
          <w:sz w:val="20"/>
        </w:rPr>
        <w:t xml:space="preserve">” </w:t>
      </w:r>
      <w:r>
        <w:rPr>
          <w:rFonts w:ascii="Times New Roman" w:hAnsi="Times New Roman"/>
          <w:color w:val="000000"/>
          <w:sz w:val="24"/>
        </w:rPr>
        <w:t xml:space="preserve">means the entities listed on the signature pages hereto under the heading “Designating Stockholders” and each Person that executes a joinder agreement pursuant to </w:t>
      </w:r>
      <w:r>
        <w:rPr>
          <w:rFonts w:ascii="Times New Roman" w:hAnsi="Times New Roman"/>
          <w:color w:val="000000"/>
          <w:sz w:val="24"/>
          <w:u w:val="single"/>
        </w:rPr>
        <w:t>Section 6.5(b)</w:t>
      </w:r>
      <w:r>
        <w:rPr>
          <w:rFonts w:ascii="Times New Roman" w:hAnsi="Times New Roman"/>
          <w:color w:val="000000"/>
          <w:sz w:val="20"/>
        </w:rPr>
        <w:t xml:space="preserve"> </w:t>
      </w:r>
      <w:r>
        <w:rPr>
          <w:rFonts w:ascii="Times New Roman" w:hAnsi="Times New Roman"/>
          <w:color w:val="000000"/>
          <w:sz w:val="24"/>
        </w:rPr>
        <w:t>as a Permitted Transferee.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Designating Stockholder Representative</w:t>
      </w:r>
      <w:r>
        <w:rPr>
          <w:rFonts w:ascii="Times New Roman" w:hAnsi="Times New Roman"/>
          <w:color w:val="000000"/>
          <w:sz w:val="20"/>
        </w:rPr>
        <w:t xml:space="preserve">” </w:t>
      </w:r>
      <w:r>
        <w:rPr>
          <w:rFonts w:ascii="Times New Roman" w:hAnsi="Times New Roman"/>
          <w:color w:val="000000"/>
          <w:sz w:val="24"/>
        </w:rPr>
        <w:t>means the Designating Stockholder, or any group of Designating Stockholders collectively, then holding of record a majority of Total Outstanding Securities held of record by all Designating Stockholders.</w:t>
      </w:r>
    </w:p>
    <w:p>
      <w:pPr>
        <w:pStyle w:val="TextBody"/>
        <w:bidi w:val="0"/>
        <w:spacing w:before="0" w:after="240"/>
        <w:jc w:val="left"/>
        <w:rPr/>
      </w:pPr>
      <w:r>
        <w:rPr>
          <w:color w:val="000000"/>
        </w:rPr>
        <w:t>“</w:t>
      </w:r>
      <w:r>
        <w:rPr>
          <w:rFonts w:ascii="Times New Roman" w:hAnsi="Times New Roman"/>
          <w:color w:val="000000"/>
          <w:sz w:val="24"/>
          <w:u w:val="single"/>
        </w:rPr>
        <w:t>Designee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2.1(a)</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means any director of the Company from time to time.</w:t>
      </w:r>
    </w:p>
    <w:p>
      <w:pPr>
        <w:pStyle w:val="TextBody"/>
        <w:bidi w:val="0"/>
        <w:spacing w:before="0" w:after="240"/>
        <w:jc w:val="left"/>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 as the same may be amended from time to time.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pStyle w:val="TextBody"/>
        <w:bidi w:val="0"/>
        <w:spacing w:before="0" w:after="240"/>
        <w:jc w:val="left"/>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IPO</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NewCo</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Non-Recourse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color w:val="000000"/>
          <w:sz w:val="24"/>
          <w:u w:val="single"/>
        </w:rPr>
        <w:t>Permitted Pledge</w:t>
      </w:r>
      <w:r>
        <w:rPr>
          <w:rFonts w:ascii="Times New Roman" w:hAnsi="Times New Roman"/>
          <w:color w:val="000000"/>
          <w:sz w:val="20"/>
        </w:rPr>
        <w:t xml:space="preserve">” </w:t>
      </w:r>
      <w:r>
        <w:rPr>
          <w:rFonts w:ascii="Times New Roman" w:hAnsi="Times New Roman"/>
          <w:color w:val="000000"/>
          <w:sz w:val="24"/>
        </w:rPr>
        <w:t>means any pledge, hypothecation or grant of security over shares by a Designating Stockholder or any Affiliate thereof with respect to all or any portion of its shares of Common Stock (or any beneficial interest therein) to or in favor of any bank or financial institution as collateral for (i) any loan, advance, extension of credit or (ii) any derivative transaction referencing the Common Stock (including, without limitation, any transaction which transfers some or all of the economic risk of ownership of Common Stock, including any forward contract, equity swap, put or call, put or call equivalent position, collar, sale of exchangeable security or any similar transaction).</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rFonts w:ascii="Times New Roman" w:hAnsi="Times New Roman"/>
          <w:color w:val="000000"/>
          <w:sz w:val="20"/>
        </w:rPr>
        <w:t xml:space="preserve">” </w:t>
      </w:r>
      <w:r>
        <w:rPr>
          <w:rFonts w:ascii="Times New Roman" w:hAnsi="Times New Roman"/>
          <w:color w:val="000000"/>
          <w:sz w:val="24"/>
        </w:rPr>
        <w:t>means with respect to a Designating Stockholder, a Transferee of shares of Common Stock that agrees to become party to, and be bound to the same extent as its transferor, by the terms of this Agreement.</w:t>
      </w:r>
    </w:p>
    <w:p>
      <w:pPr>
        <w:pStyle w:val="TextBody"/>
        <w:bidi w:val="0"/>
        <w:spacing w:before="0" w:after="240"/>
        <w:jc w:val="left"/>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pStyle w:val="TextBody"/>
        <w:bidi w:val="0"/>
        <w:spacing w:before="0" w:after="240"/>
        <w:jc w:val="left"/>
        <w:rPr/>
      </w:pPr>
      <w:r>
        <w:rPr>
          <w:color w:val="000000"/>
        </w:rPr>
        <w:t>“</w:t>
      </w:r>
      <w:r>
        <w:rPr>
          <w:rFonts w:ascii="Times New Roman" w:hAnsi="Times New Roman"/>
          <w:color w:val="000000"/>
          <w:sz w:val="24"/>
          <w:u w:val="single"/>
        </w:rPr>
        <w:t>Plan Asset Regulation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Portfolio Company</w:t>
      </w:r>
      <w:r>
        <w:rPr>
          <w:rFonts w:ascii="Times New Roman" w:hAnsi="Times New Roman"/>
          <w:color w:val="000000"/>
          <w:sz w:val="20"/>
        </w:rPr>
        <w:t xml:space="preserve">” </w:t>
      </w:r>
      <w:r>
        <w:rPr>
          <w:rFonts w:ascii="Times New Roman" w:hAnsi="Times New Roman"/>
          <w:color w:val="000000"/>
          <w:sz w:val="24"/>
        </w:rPr>
        <w:t>means a portfolio company in which such Person or such Person’s investment funds have made a debt or equity investment (and vice versa).</w:t>
      </w:r>
    </w:p>
    <w:p>
      <w:pPr>
        <w:pStyle w:val="TextBody"/>
        <w:bidi w:val="0"/>
        <w:spacing w:before="0" w:after="240"/>
        <w:jc w:val="left"/>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by and among the Company and the other parties thereto, dated on or about the date hereof, as such agreement may be amended and/or restated from time to time.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Restated Certificate of Incorporation</w:t>
      </w:r>
      <w:r>
        <w:rPr>
          <w:rFonts w:ascii="Times New Roman" w:hAnsi="Times New Roman"/>
          <w:color w:val="000000"/>
          <w:sz w:val="20"/>
        </w:rPr>
        <w:t xml:space="preserve">” </w:t>
      </w:r>
      <w:r>
        <w:rPr>
          <w:rFonts w:ascii="Times New Roman" w:hAnsi="Times New Roman"/>
          <w:color w:val="000000"/>
          <w:sz w:val="24"/>
        </w:rPr>
        <w:t>means the Amended and Restated Certificate of Incorporation of the Company, dated on or about the date hereof, as such certificate may be amended and/or restated from time to time.</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pStyle w:val="TextBody"/>
        <w:bidi w:val="0"/>
        <w:spacing w:before="0" w:after="240"/>
        <w:jc w:val="left"/>
        <w:rPr/>
      </w:pPr>
      <w:r>
        <w:rPr>
          <w:color w:val="000000"/>
        </w:rPr>
        <w:t>“</w:t>
      </w:r>
      <w:r>
        <w:rPr>
          <w:rFonts w:ascii="Times New Roman" w:hAnsi="Times New Roman"/>
          <w:color w:val="000000"/>
          <w:sz w:val="24"/>
          <w:u w:val="single"/>
        </w:rPr>
        <w:t>Total Number of Directors</w:t>
      </w:r>
      <w:r>
        <w:rPr>
          <w:rFonts w:ascii="Times New Roman" w:hAnsi="Times New Roman"/>
          <w:color w:val="000000"/>
          <w:sz w:val="20"/>
        </w:rPr>
        <w:t xml:space="preserve">” </w:t>
      </w:r>
      <w:r>
        <w:rPr>
          <w:rFonts w:ascii="Times New Roman" w:hAnsi="Times New Roman"/>
          <w:color w:val="000000"/>
          <w:sz w:val="24"/>
        </w:rPr>
        <w:t>means the total number of directors comprising the Board from time to time.</w:t>
      </w:r>
    </w:p>
    <w:p>
      <w:pPr>
        <w:pStyle w:val="TextBody"/>
        <w:bidi w:val="0"/>
        <w:spacing w:before="0" w:after="240"/>
        <w:jc w:val="left"/>
        <w:rPr/>
      </w:pPr>
      <w:r>
        <w:rPr>
          <w:color w:val="000000"/>
        </w:rPr>
        <w:t>“</w:t>
      </w:r>
      <w:r>
        <w:rPr>
          <w:rFonts w:ascii="Times New Roman" w:hAnsi="Times New Roman"/>
          <w:color w:val="000000"/>
          <w:sz w:val="24"/>
          <w:u w:val="single"/>
        </w:rPr>
        <w:t>Total Outstanding Securities</w:t>
      </w:r>
      <w:r>
        <w:rPr>
          <w:rFonts w:ascii="Times New Roman" w:hAnsi="Times New Roman"/>
          <w:color w:val="000000"/>
          <w:sz w:val="20"/>
        </w:rPr>
        <w:t xml:space="preserve">” </w:t>
      </w:r>
      <w:r>
        <w:rPr>
          <w:rFonts w:ascii="Times New Roman" w:hAnsi="Times New Roman"/>
          <w:color w:val="000000"/>
          <w:sz w:val="24"/>
        </w:rPr>
        <w:t>means, at any time, the total number of outstanding shares of Common Stock.</w:t>
      </w:r>
    </w:p>
    <w:p>
      <w:pPr>
        <w:pStyle w:val="TextBody"/>
        <w:bidi w:val="0"/>
        <w:spacing w:before="0" w:after="240"/>
        <w:jc w:val="left"/>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Transferor</w:t>
      </w:r>
      <w:r>
        <w:rPr>
          <w:rFonts w:ascii="Times New Roman" w:hAnsi="Times New Roman"/>
          <w:color w:val="000000"/>
          <w:sz w:val="24"/>
        </w:rPr>
        <w:t>,” “</w:t>
      </w:r>
      <w:r>
        <w:rPr>
          <w:rFonts w:ascii="Times New Roman" w:hAnsi="Times New Roman"/>
          <w:color w:val="000000"/>
          <w:sz w:val="24"/>
          <w:u w:val="single"/>
        </w:rPr>
        <w:t>Transferee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Transferred</w:t>
      </w:r>
      <w:r>
        <w:rPr>
          <w:rFonts w:ascii="Times New Roman" w:hAnsi="Times New Roman"/>
          <w:color w:val="000000"/>
          <w:sz w:val="20"/>
        </w:rPr>
        <w:t>”</w:t>
      </w:r>
      <w:r>
        <w:rPr>
          <w:rFonts w:ascii="Times New Roman" w:hAnsi="Times New Roman"/>
          <w:color w:val="000000"/>
          <w:sz w:val="24"/>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shall have such correlative meaning as the context may require. For the avoidance of doubt, it is understood that a Permitted Pledge shall not be a Transfer and the bank or financial institution in respect of whom the Permitted Pledge is made shall not be treated as a transferee or entitled to any rights under this Agreement as a result of such Permitted Pledge or any foreclosure thereunder.</w:t>
      </w:r>
    </w:p>
    <w:p>
      <w:pPr>
        <w:pStyle w:val="TextBody"/>
        <w:bidi w:val="0"/>
        <w:spacing w:before="0" w:after="240"/>
        <w:jc w:val="left"/>
        <w:rPr/>
      </w:pPr>
      <w:r>
        <w:rPr>
          <w:color w:val="000000"/>
        </w:rPr>
        <w:t>“</w:t>
      </w:r>
      <w:r>
        <w:rPr>
          <w:rFonts w:ascii="Times New Roman" w:hAnsi="Times New Roman"/>
          <w:color w:val="000000"/>
          <w:sz w:val="24"/>
          <w:u w:val="single"/>
        </w:rPr>
        <w:t>VCOC Investor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Construction</w:t>
      </w:r>
      <w:r>
        <w:rPr>
          <w:rFonts w:ascii="Times New Roman" w:hAnsi="Times New Roman"/>
          <w:color w:val="000000"/>
          <w:sz w:val="24"/>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CORPORATE GOVERNANCE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Election of Directors</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 The Designating Stockholder Representative shall have the right, but not the obligation, to designate a number of individuals serving as Directors of the Company equal to: (i) if the Designating Stockholders and their Affiliates collectively Beneficially Own 50% or more of the Total Outstanding Securities, the lowest whole number that is greater than 50% of the Total Number of Directors; (ii) if the Designating Stockholders and their Affiliates collectively Beneficially Own at least 40% (but less than 50%) of the Total Outstanding Securities, the lowest whole number that is greater than 40% of the Total Number of Directors; (iii) if the Designating Stockholders and their Affiliates collectively Beneficially Own at least 30% (but less than 40%) of the Total Outstanding Securities, the lowest whole number that is greater than 30% of the Total Number of Directors; (iv) if the Designating Stockholders and their Affiliates collectively Beneficially Own at least 20% (but less than 30%) of the Total Outstanding Securities, the lowest whole number that is greater than 20% of the Total Number of Directors; and (v) if the Designating Stockholders and their Affiliates collectively Beneficially Own at least 5% (but less than 20%) of the Total Outstanding Securities, the lowest whole number (such number always being equal to or greater than one) that is greater than 10% of the Total Number of Directors (in each case, each such person a “ Designee”).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Designating Stockholders and their Affiliates collectively Beneficially Own at least 2% of the Total Outstanding Securities, the Designating Stockholder Representative may designate one (1) non-voting observer to attend meetings of the Board. Except to the extent that the Board determines in its reasonable discretion that the receipt of such materials would prevent the Company from asserting attorney-client privilege, such non-voting observer shall have the same right to receive at the same time and in the same manner as a Director copies of all materials (including copies of all resolutions, consents and meeting minutes) given 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The non-voting observer may be required by the Board to temporarily leave a meeting of the Board if the presence of the non-voting observer would prevent the Company from asserting attorney-client privilege with respect to matters discussed before the Board at such time.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If at any time the Designating Stockholder Representative has designated fewer than the total number of individuals that it is then entitled to designate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hAnsi="Times New Roman"/>
          <w:color w:val="000000"/>
          <w:sz w:val="24"/>
          <w:u w:val="single"/>
        </w:rPr>
        <w:t>Section 2.1(c)</w:t>
      </w:r>
      <w:r>
        <w:rPr>
          <w:rFonts w:ascii="Times New Roman" w:hAnsi="Times New Roman"/>
          <w:color w:val="000000"/>
          <w:sz w:val="24"/>
        </w:rPr>
        <w:t>, the Total Number of Directors shall be automatically increased to enable the appointment of such individual as a Designee. The Company will ensure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all times during the term of this Agreement that its Restated Certificate of Incorporation and bylaws will not contain any limitation on the number of authorized Directors that would prevent it from complying with the foregoing sentence.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Directors are subject to removal or disqualification pursuant to the applicable provisions of the Restated Certificate of Incorporation and applicable law; </w:t>
      </w:r>
      <w:r>
        <w:rPr>
          <w:rFonts w:ascii="Times New Roman" w:hAnsi="Times New Roman"/>
          <w:i/>
          <w:color w:val="000000"/>
          <w:sz w:val="24"/>
        </w:rPr>
        <w:t>provided, however</w:t>
      </w:r>
      <w:r>
        <w:rPr>
          <w:rFonts w:ascii="Times New Roman" w:hAnsi="Times New Roman"/>
          <w:color w:val="000000"/>
          <w:sz w:val="24"/>
        </w:rPr>
        <w:t xml:space="preserve">, for as long as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Stockholders entitled to designate or cause the appointment of such Designee.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Notwithstanding anything to the contrary set forth in the Restated Certificate of Incorporation or bylaws,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hAnsi="Times New Roman"/>
          <w:color w:val="000000"/>
          <w:sz w:val="24"/>
          <w:u w:val="single"/>
        </w:rPr>
        <w:t>Section 2.1(c)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2.1(g)</w:t>
      </w:r>
      <w:r>
        <w:rPr>
          <w:rFonts w:ascii="Times New Roman" w:hAnsi="Times New Roman"/>
          <w:color w:val="000000"/>
          <w:sz w:val="20"/>
        </w:rPr>
        <w:t xml:space="preserve"> </w:t>
      </w:r>
      <w:r>
        <w:rPr>
          <w:rFonts w:ascii="Times New Roman" w:hAnsi="Times New Roman"/>
          <w:color w:val="000000"/>
          <w:sz w:val="24"/>
        </w:rPr>
        <w:t>hereof, the Designating Stockholder Representative shall have the power, at its election, to appoint or cause to be appointed a new Designee to fill such vacancy or the newly created directorship resulting from such increase.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In the event that any Designee shall fail to be elected to the Board at any meeting of stockholders called for the purpose of electing directors (or consent in lieu of meeting),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hAnsi="Times New Roman"/>
          <w:color w:val="000000"/>
          <w:sz w:val="24"/>
          <w:u w:val="single"/>
        </w:rPr>
        <w:t>Section 2.1(g)</w:t>
      </w:r>
      <w:r>
        <w:rPr>
          <w:rFonts w:ascii="Times New Roman" w:hAnsi="Times New Roman"/>
          <w:color w:val="000000"/>
          <w:sz w:val="24"/>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hAnsi="Times New Roman"/>
          <w:color w:val="000000"/>
          <w:sz w:val="24"/>
          <w:u w:val="single"/>
        </w:rPr>
        <w:t>Section 2.1</w:t>
      </w:r>
      <w:r>
        <w:rPr>
          <w:rFonts w:ascii="Times New Roman" w:hAnsi="Times New Roman"/>
          <w:color w:val="000000"/>
          <w:sz w:val="24"/>
        </w:rPr>
        <w:t xml:space="preserve">, including its right to designate a Designee for election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in connection with any future election of directors of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Compensation</w:t>
      </w:r>
      <w:r>
        <w:rPr>
          <w:rFonts w:ascii="Times New Roman" w:hAnsi="Times New Roman"/>
          <w:color w:val="000000"/>
          <w:sz w:val="24"/>
        </w:rPr>
        <w:t xml:space="preserve">. Except to the extent the Designating Stockholder Representative may otherwise notify the Company and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Designees shall be entitled to compensation consistent with the compensation received by other non-employee Directors, including any fees and equity awards, </w:t>
      </w:r>
      <w:r>
        <w:rPr>
          <w:rFonts w:ascii="Times New Roman" w:hAnsi="Times New Roman"/>
          <w:i/>
          <w:color w:val="000000"/>
          <w:sz w:val="24"/>
        </w:rPr>
        <w:t>provided</w:t>
      </w:r>
      <w:r>
        <w:rPr>
          <w:rFonts w:ascii="Times New Roman" w:hAnsi="Times New Roman"/>
          <w:color w:val="000000"/>
          <w:sz w:val="24"/>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Board Committees</w:t>
      </w:r>
      <w:r>
        <w:rPr>
          <w:rFonts w:ascii="Times New Roman" w:hAnsi="Times New Roman"/>
          <w:color w:val="000000"/>
          <w:sz w:val="24"/>
        </w:rPr>
        <w:t xml:space="preserve">.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hereof, to the extent permitted by Law, the Restated Certificate of Incorporation and the rules of any stock exchange on which the Common Stock is listed for trading, and subject to requisite independence or other eligibility requirements applicable to such committee, the Designating Stockholder Representative shall have the right, but not the obligation, to appoint (or cause to be appointed) at least one (1) Designee to each committee of the Board, other than the Litigation Demand Committee.</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III.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INFORMATION; VCOC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Books and Records; Access</w:t>
      </w:r>
      <w:r>
        <w:rPr>
          <w:rFonts w:ascii="Times New Roman" w:hAnsi="Times New Roman"/>
          <w:color w:val="000000"/>
          <w:sz w:val="24"/>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(all such information so furnished pursuant to this </w:t>
      </w:r>
      <w:r>
        <w:rPr>
          <w:rFonts w:ascii="Times New Roman" w:hAnsi="Times New Roman"/>
          <w:color w:val="000000"/>
          <w:sz w:val="24"/>
          <w:u w:val="single"/>
        </w:rPr>
        <w:t>Section 3.1</w:t>
      </w:r>
      <w:r>
        <w:rPr>
          <w:rFonts w:ascii="Times New Roman" w:hAnsi="Times New Roman"/>
          <w:color w:val="000000"/>
          <w:sz w:val="24"/>
        </w:rPr>
        <w:t>, the “</w:t>
      </w:r>
      <w:r>
        <w:rPr>
          <w:rFonts w:ascii="Times New Roman" w:hAnsi="Times New Roman"/>
          <w:color w:val="000000"/>
          <w:sz w:val="24"/>
          <w:u w:val="single"/>
        </w:rPr>
        <w:t>Information</w:t>
      </w:r>
      <w:r>
        <w:rPr>
          <w:rFonts w:ascii="Times New Roman" w:hAnsi="Times New Roman"/>
          <w:color w:val="000000"/>
          <w:sz w:val="20"/>
        </w:rPr>
        <w:t>”</w:t>
      </w:r>
      <w:r>
        <w:rPr>
          <w:rFonts w:ascii="Times New Roman" w:hAnsi="Times New Roman"/>
          <w:color w:val="000000"/>
          <w:sz w:val="24"/>
        </w:rPr>
        <w:t xml:space="preserve">). Subject to </w:t>
      </w:r>
      <w:r>
        <w:rPr>
          <w:rFonts w:ascii="Times New Roman" w:hAnsi="Times New Roman"/>
          <w:color w:val="000000"/>
          <w:sz w:val="24"/>
          <w:u w:val="single"/>
        </w:rPr>
        <w:t>Section 3.4</w:t>
      </w:r>
      <w:r>
        <w:rPr>
          <w:rFonts w:ascii="Times New Roman" w:hAnsi="Times New Roman"/>
          <w:color w:val="000000"/>
          <w:sz w:val="24"/>
        </w:rPr>
        <w:t>,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arrangement pursuant to which it may provide such information to the Designating Stockholders without the loss of any such privilege. The information rights pursuant to this </w:t>
      </w:r>
      <w:r>
        <w:rPr>
          <w:rFonts w:ascii="Times New Roman" w:hAnsi="Times New Roman"/>
          <w:color w:val="000000"/>
          <w:sz w:val="24"/>
          <w:u w:val="single"/>
        </w:rPr>
        <w:t xml:space="preserve">Section 3.1 </w:t>
      </w:r>
      <w:r>
        <w:rPr>
          <w:rFonts w:ascii="Times New Roman" w:hAnsi="Times New Roman"/>
          <w:color w:val="000000"/>
          <w:sz w:val="24"/>
        </w:rPr>
        <w:t>shall terminate at the time the Designating Stockholders and their Affiliates collectively Beneficially Own less than 1% of the Total Outstanding Securities. The Designating Stockholders may elect from time to time by written notice to the Company not to have such information rights for a predetermined period of time (which may be indefinite).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Certain Reports</w:t>
      </w:r>
      <w:r>
        <w:rPr>
          <w:rFonts w:ascii="Times New Roman" w:hAnsi="Times New Roman"/>
          <w:color w:val="000000"/>
          <w:sz w:val="24"/>
        </w:rPr>
        <w:t>. Until such time as the Designating Stockholders and their Affiliates collectively Beneficially Own less than 1% of the Total Outstanding Securities, the Company shall deliver or cause to be delivered to the Designating Stockholders, at their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the extent otherwise prepared by the Company, operating and capital expenditure budgets and periodic information packages relating to the operations and cash flows of the Company and its Subsidiaries; and</w:t>
      </w:r>
    </w:p>
    <w:p>
      <w:pPr>
        <w:pStyle w:val="TextBody"/>
        <w:bidi w:val="0"/>
        <w:spacing w:before="0" w:after="240"/>
        <w:jc w:val="left"/>
        <w:rPr>
          <w:rFonts w:ascii="Times New Roman" w:hAnsi="Times New Roman"/>
          <w:sz w:val="20"/>
        </w:rPr>
      </w:pPr>
      <w:r>
        <w:rPr>
          <w:rFonts w:ascii="Times New Roman" w:hAnsi="Times New Roman"/>
          <w:color w:val="000000"/>
          <w:sz w:val="24"/>
        </w:rPr>
        <w:t>(b) to the extent otherwise prepared by the Company, such other reports and information as may be reasonably requested by the Designating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that in the cases of clauses (a) and (b),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VCOC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hAnsi="Times New Roman"/>
          <w:color w:val="000000"/>
          <w:sz w:val="24"/>
          <w:u w:val="single"/>
        </w:rPr>
        <w:t>Plan Asset Regulation</w:t>
      </w:r>
      <w:r>
        <w:rPr>
          <w:rFonts w:ascii="Times New Roman" w:hAnsi="Times New Roman"/>
          <w:color w:val="000000"/>
          <w:sz w:val="20"/>
        </w:rPr>
        <w:t>”</w:t>
      </w:r>
      <w:r>
        <w:rPr>
          <w:rFonts w:ascii="Times New Roman" w:hAnsi="Times New Roman"/>
          <w:color w:val="000000"/>
          <w:sz w:val="24"/>
        </w:rPr>
        <w:t>) (each, a “</w:t>
      </w:r>
      <w:r>
        <w:rPr>
          <w:rFonts w:ascii="Times New Roman" w:hAnsi="Times New Roman"/>
          <w:color w:val="000000"/>
          <w:sz w:val="24"/>
          <w:u w:val="single"/>
        </w:rPr>
        <w:t>VCOC Investor</w:t>
      </w:r>
      <w:r>
        <w:rPr>
          <w:rFonts w:ascii="Times New Roman" w:hAnsi="Times New Roman"/>
          <w:color w:val="000000"/>
          <w:sz w:val="20"/>
        </w:rPr>
        <w:t>”</w:t>
      </w:r>
      <w:r>
        <w:rPr>
          <w:rFonts w:ascii="Times New Roman" w:hAnsi="Times New Roman"/>
          <w:color w:val="000000"/>
          <w:sz w:val="24"/>
        </w:rPr>
        <w:t>, and together, the “</w:t>
      </w:r>
      <w:r>
        <w:rPr>
          <w:rFonts w:ascii="Times New Roman" w:hAnsi="Times New Roman"/>
          <w:color w:val="000000"/>
          <w:sz w:val="24"/>
          <w:u w:val="single"/>
        </w:rPr>
        <w:t>VCOC Investors</w:t>
      </w:r>
      <w:r>
        <w:rPr>
          <w:rFonts w:ascii="Times New Roman" w:hAnsi="Times New Roman"/>
          <w:color w:val="000000"/>
          <w:sz w:val="20"/>
        </w:rPr>
        <w:t>”</w:t>
      </w:r>
      <w:r>
        <w:rPr>
          <w:rFonts w:ascii="Times New Roman" w:hAnsi="Times New Roman"/>
          <w:color w:val="000000"/>
          <w:sz w:val="24"/>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 each VCOC Investor or its designated representative with:</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4"/>
        </w:rPr>
        <w:t>upon reasonable notice and at mutually convenient times, the right to visit and inspect any of the offices and properties of the Company and its Subsidiaries and inspect and copy the books and records of the Company and its Subsidiaries;</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4"/>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(C) </w:t>
      </w:r>
      <w:r>
        <w:rPr>
          <w:rFonts w:ascii="Times New Roman" w:hAnsi="Times New Roman"/>
          <w:color w:val="000000"/>
          <w:sz w:val="24"/>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(D) </w:t>
      </w:r>
      <w:r>
        <w:rPr>
          <w:rFonts w:ascii="Times New Roman" w:hAnsi="Times New Roman"/>
          <w:color w:val="000000"/>
          <w:sz w:val="24"/>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pStyle w:val="TextBody"/>
        <w:bidi w:val="0"/>
        <w:spacing w:before="0" w:after="240"/>
        <w:jc w:val="left"/>
        <w:rPr>
          <w:rFonts w:ascii="Times New Roman" w:hAnsi="Times New Roman"/>
          <w:sz w:val="20"/>
        </w:rPr>
      </w:pPr>
      <w:r>
        <w:rPr>
          <w:rFonts w:ascii="Times New Roman" w:hAnsi="Times New Roman"/>
          <w:color w:val="010000"/>
          <w:sz w:val="24"/>
        </w:rPr>
        <w:t xml:space="preserve">(E) </w:t>
      </w:r>
      <w:r>
        <w:rPr>
          <w:rFonts w:ascii="Times New Roman" w:hAnsi="Times New Roman"/>
          <w:color w:val="000000"/>
          <w:sz w:val="24"/>
        </w:rPr>
        <w:t xml:space="preserve">upon written request by a VCOC Investor, copies of all materials provided to the Board, subject to appropriate protections with respect to confidentiality and preservation of attorney-client privilege; </w:t>
      </w:r>
      <w:r>
        <w:rPr>
          <w:rFonts w:ascii="Times New Roman" w:hAnsi="Times New Roman"/>
          <w:i/>
          <w:color w:val="000000"/>
          <w:sz w:val="24"/>
        </w:rPr>
        <w:t>provided</w:t>
      </w:r>
      <w:r>
        <w:rPr>
          <w:rFonts w:ascii="Times New Roman" w:hAnsi="Times New Roman"/>
          <w:color w:val="000000"/>
          <w:sz w:val="24"/>
        </w:rPr>
        <w:t xml:space="preserve">, that, in each case, if the Company makes the information described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3.3(a)(i)</w:t>
      </w:r>
      <w:r>
        <w:rPr>
          <w:rFonts w:ascii="Times New Roman" w:hAnsi="Times New Roman"/>
          <w:color w:val="000000"/>
          <w:sz w:val="20"/>
        </w:rPr>
        <w:t xml:space="preserve"> </w:t>
      </w:r>
      <w:r>
        <w:rPr>
          <w:rFonts w:ascii="Times New Roman" w:hAnsi="Times New Roman"/>
          <w:color w:val="000000"/>
          <w:sz w:val="24"/>
        </w:rPr>
        <w:t>available through public filings on the EDGAR System or any successor or replacement system of the U.S. Securities and Exchange Commission, the requirement to deliver such information shall be deemed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The Company agrees to consider, in good faith, the recommendations of each VCOC Investor or its designated representative in connection with the matters on which it is consulted as described above in this </w:t>
      </w:r>
      <w:r>
        <w:rPr>
          <w:rFonts w:ascii="Times New Roman" w:hAnsi="Times New Roman"/>
          <w:color w:val="000000"/>
          <w:sz w:val="24"/>
          <w:u w:val="single"/>
        </w:rPr>
        <w:t>Section 3.3</w:t>
      </w:r>
      <w:r>
        <w:rPr>
          <w:rFonts w:ascii="Times New Roman" w:hAnsi="Times New Roman"/>
          <w:color w:val="000000"/>
          <w:sz w:val="24"/>
        </w:rPr>
        <w:t>, recognizing that the ultimate discretion with respect to all such matters shall be retained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(c) In the event a VCOC Investor or any of its Affiliates Transfers all or any portion of their investment in the Company to an affiliated entity that is intended to qualify its investment in the Company as a “venture capital investment” (as defined in the Plan Asset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Regulation), such Transferee shall be afforded the same rights with respect to the Company afforded to such VCOC Investor hereunder and shall be treated, for such purposes, as a third party beneficiary 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hAnsi="Times New Roman"/>
          <w:color w:val="000000"/>
          <w:sz w:val="24"/>
          <w:u w:val="single"/>
        </w:rPr>
        <w:t>Sections 3.3(a)</w:t>
      </w:r>
      <w:r>
        <w:rPr>
          <w:rFonts w:ascii="Times New Roman" w:hAnsi="Times New Roman"/>
          <w:color w:val="000000"/>
          <w:sz w:val="24"/>
        </w:rPr>
        <w:t xml:space="preserve">, </w:t>
      </w:r>
      <w:r>
        <w:rPr>
          <w:rFonts w:ascii="Times New Roman" w:hAnsi="Times New Roman"/>
          <w:color w:val="000000"/>
          <w:sz w:val="24"/>
          <w:u w:val="single"/>
        </w:rPr>
        <w:t>3.3(b)</w:t>
      </w:r>
      <w:r>
        <w:rPr>
          <w:rFonts w:ascii="Times New Roman" w:hAnsi="Times New Roman"/>
          <w:color w:val="000000"/>
          <w:sz w:val="24"/>
        </w:rPr>
        <w:t xml:space="preserve">, and </w:t>
      </w:r>
      <w:r>
        <w:rPr>
          <w:rFonts w:ascii="Times New Roman" w:hAnsi="Times New Roman"/>
          <w:color w:val="000000"/>
          <w:sz w:val="24"/>
          <w:u w:val="single"/>
        </w:rPr>
        <w:t>3.3(c)</w:t>
      </w:r>
      <w:r>
        <w:rPr>
          <w:rFonts w:ascii="Times New Roman" w:hAnsi="Times New Roman"/>
          <w:color w:val="000000"/>
          <w:sz w:val="20"/>
        </w:rPr>
        <w:t xml:space="preserve"> </w:t>
      </w:r>
      <w:r>
        <w:rPr>
          <w:rFonts w:ascii="Times New Roman" w:hAnsi="Times New Roman"/>
          <w:color w:val="000000"/>
          <w:sz w:val="24"/>
        </w:rPr>
        <w:t>hereof in a form and substance satisfactory to such VCOC Investor.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In the event a VCOC Investor is an Affiliate of a Designating Stockholder, as described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 xml:space="preserve">above, such affiliated entity shall be afforded the same rights with respect to the Company and afforded to the Designating Stockholders under this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and shall be treated, for such purposes, as a third party beneficiary hereunder.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Confidentiality</w:t>
      </w:r>
      <w:r>
        <w:rPr>
          <w:rFonts w:ascii="Times New Roman" w:hAnsi="Times New Roman"/>
          <w:color w:val="000000"/>
          <w:sz w:val="24"/>
        </w:rPr>
        <w:t xml:space="preserve">. Each Designating Stockholder agrees that it will, and will direct its designated representatives to, keep confidential and not disclose any Confidential Information;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that such Designating Stockholder and its designated representatives may disclose Confidential Information to any other Designating Stockholders (including any Designating Stockholders, Designees, or non-voting observers pursuant to any other stockholders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hAnsi="Times New Roman"/>
          <w:i/>
          <w:color w:val="000000"/>
          <w:sz w:val="24"/>
        </w:rPr>
        <w:t>provided</w:t>
      </w:r>
      <w:r>
        <w:rPr>
          <w:rFonts w:ascii="Times New Roman" w:hAnsi="Times New Roman"/>
          <w:color w:val="000000"/>
          <w:sz w:val="24"/>
        </w:rPr>
        <w:t xml:space="preserve">, that such Designating Stockholder or designated representative takes reasonable steps to minimize the extent of any such required disclosure,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each Designating Stockholder agrees to be responsible for any breaches of this </w:t>
      </w: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rPr>
        <w:t>by such Designating Stockholder’s designated representatives.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Information Sharing</w:t>
      </w:r>
      <w:r>
        <w:rPr>
          <w:rFonts w:ascii="Times New Roman" w:hAnsi="Times New Roman"/>
          <w:color w:val="000000"/>
          <w:sz w:val="24"/>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hAnsi="Times New Roman"/>
          <w:color w:val="000000"/>
          <w:sz w:val="24"/>
          <w:u w:val="single"/>
        </w:rPr>
        <w:t>Section 3.4</w:t>
      </w:r>
      <w:r>
        <w:rPr>
          <w:rFonts w:ascii="Times New Roman" w:hAnsi="Times New Roman"/>
          <w:color w:val="000000"/>
          <w:sz w:val="24"/>
        </w:rPr>
        <w:t>).</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IV.</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ADDITIONAL COVENANTS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Pledges or Transfers</w:t>
      </w:r>
      <w:r>
        <w:rPr>
          <w:rFonts w:ascii="Times New Roman" w:hAnsi="Times New Roman"/>
          <w:color w:val="000000"/>
          <w:sz w:val="24"/>
        </w:rPr>
        <w:t>. Subject to any applicable limitations set forth in the Registration Rights Agreement, upon the request of any Designating Stockholder that wishes to (x) pledge, hypothecate or grant security interests in any or all of the shares of Common Stock held by it including to banks or financial institutions as collateral or security for loans, advances or extensions of credit or (y) Transfer any or all of the shares of Common Stock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Spin-Offs or Split-Offs</w:t>
      </w:r>
      <w:r>
        <w:rPr>
          <w:rFonts w:ascii="Times New Roman" w:hAnsi="Times New Roman"/>
          <w:color w:val="000000"/>
          <w:sz w:val="24"/>
        </w:rPr>
        <w:t>. In the event that the Company effects the separation of any portion of its business into one or more entities (each, a “</w:t>
      </w:r>
      <w:r>
        <w:rPr>
          <w:rFonts w:ascii="Times New Roman" w:hAnsi="Times New Roman"/>
          <w:color w:val="000000"/>
          <w:sz w:val="24"/>
          <w:u w:val="single"/>
        </w:rPr>
        <w:t>NewCo</w:t>
      </w:r>
      <w:r>
        <w:rPr>
          <w:rFonts w:ascii="Times New Roman" w:hAnsi="Times New Roman"/>
          <w:color w:val="000000"/>
          <w:sz w:val="20"/>
        </w:rPr>
        <w:t>”</w:t>
      </w:r>
      <w:r>
        <w:rPr>
          <w:rFonts w:ascii="Times New Roman" w:hAnsi="Times New Roman"/>
          <w:color w:val="000000"/>
          <w:sz w:val="24"/>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stockholders agreement with the Designating Stockholders that provides the Designating Stockholders with rights vis-à-vis such NewCo that are substantially identical to those set forth in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Expense Reimbursement</w:t>
      </w:r>
      <w:r>
        <w:rPr>
          <w:rFonts w:ascii="Times New Roman" w:hAnsi="Times New Roman"/>
          <w:color w:val="000000"/>
          <w:sz w:val="24"/>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respective Affiliates in, or financing by any of them of, the Company or any of its Subsidiaries (subject to any applicable limitations on expense reimbursement rights expressly set forth in such agreements). All payments or reimbursement for such expenses will be made by wire transfer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V.</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INDEMNIFICATION; LIABILITY INSURANCE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Indemnification of Designating Stockholder</w:t>
      </w:r>
      <w:r>
        <w:rPr>
          <w:rFonts w:ascii="Times New Roman" w:hAnsi="Times New Roman"/>
          <w:color w:val="000000"/>
          <w:sz w:val="24"/>
        </w:rPr>
        <w:t>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hAnsi="Times New Roman"/>
          <w:color w:val="000000"/>
          <w:sz w:val="24"/>
          <w:u w:val="single"/>
        </w:rPr>
        <w:t>Indemnitees</w:t>
      </w:r>
      <w:r>
        <w:rPr>
          <w:rFonts w:ascii="Times New Roman" w:hAnsi="Times New Roman"/>
          <w:color w:val="000000"/>
          <w:sz w:val="20"/>
        </w:rPr>
        <w:t>”</w:t>
      </w:r>
      <w:r>
        <w:rPr>
          <w:rFonts w:ascii="Times New Roman" w:hAnsi="Times New Roman"/>
          <w:color w:val="000000"/>
          <w:sz w:val="24"/>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hAnsi="Times New Roman"/>
          <w:color w:val="000000"/>
          <w:sz w:val="24"/>
          <w:u w:val="single"/>
        </w:rPr>
        <w:t>Indemnified Liabilities</w:t>
      </w:r>
      <w:r>
        <w:rPr>
          <w:rFonts w:ascii="Times New Roman" w:hAnsi="Times New Roman"/>
          <w:color w:val="000000"/>
          <w:sz w:val="20"/>
        </w:rPr>
        <w:t>”</w:t>
      </w:r>
      <w:r>
        <w:rPr>
          <w:rFonts w:ascii="Times New Roman" w:hAnsi="Times New Roman"/>
          <w:color w:val="000000"/>
          <w:sz w:val="24"/>
        </w:rPr>
        <w:t>), arising out of any action, cause of action, suit, litigation, investigation, inquiry, arbitration or claim by any Person (other than the Company or any of its Subsidiaries) against any Indemnitee (each, an “</w:t>
      </w:r>
      <w:r>
        <w:rPr>
          <w:rFonts w:ascii="Times New Roman" w:hAnsi="Times New Roman"/>
          <w:color w:val="000000"/>
          <w:sz w:val="24"/>
          <w:u w:val="single"/>
        </w:rPr>
        <w:t>Action</w:t>
      </w:r>
      <w:r>
        <w:rPr>
          <w:rFonts w:ascii="Times New Roman" w:hAnsi="Times New Roman"/>
          <w:color w:val="000000"/>
          <w:sz w:val="20"/>
        </w:rPr>
        <w:t>”</w:t>
      </w:r>
      <w:r>
        <w:rPr>
          <w:rFonts w:ascii="Times New Roman" w:hAnsi="Times New Roman"/>
          <w:color w:val="000000"/>
          <w:sz w:val="24"/>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indemnification rights in this </w:t>
      </w:r>
      <w:r>
        <w:rPr>
          <w:rFonts w:ascii="Times New Roman" w:hAnsi="Times New Roman"/>
          <w:color w:val="000000"/>
          <w:sz w:val="24"/>
          <w:u w:val="single"/>
        </w:rPr>
        <w:t>Section 5.1(a)</w:t>
      </w:r>
      <w:r>
        <w:rPr>
          <w:rFonts w:ascii="Times New Roman" w:hAnsi="Times New Roman"/>
          <w:color w:val="000000"/>
          <w:sz w:val="20"/>
        </w:rPr>
        <w:t xml:space="preserve"> </w:t>
      </w:r>
      <w:r>
        <w:rPr>
          <w:rFonts w:ascii="Times New Roman" w:hAnsi="Times New Roman"/>
          <w:color w:val="000000"/>
          <w:sz w:val="24"/>
        </w:rPr>
        <w:t xml:space="preserve">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 xml:space="preserve">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hAnsi="Times New Roman"/>
          <w:color w:val="000000"/>
          <w:sz w:val="24"/>
          <w:u w:val="single"/>
        </w:rPr>
        <w:t>Section 5.1</w:t>
      </w:r>
      <w:r>
        <w:rPr>
          <w:rFonts w:ascii="Times New Roman" w:hAnsi="Times New Roman"/>
          <w:color w:val="000000"/>
          <w:sz w:val="24"/>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To the fullest extent permitted by law, the Company will, and will cause its Subsidiaries to, jointly and severally, reimburse any Indemnitee for all reasonable costs and expenses (including reasonable attorneys’ fees and expenses and any other litigation-related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expenses) as they are incurred in connection with investigating, preparing, pursuing, defending or assisting in the defense of any Action for which the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Jointly Indemnifiable Claims</w:t>
      </w:r>
      <w:r>
        <w:rPr>
          <w:rFonts w:ascii="Times New Roman" w:hAnsi="Times New Roman"/>
          <w:color w:val="000000"/>
          <w:sz w:val="24"/>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hAnsi="Times New Roman"/>
          <w:color w:val="000000"/>
          <w:sz w:val="24"/>
          <w:u w:val="single"/>
        </w:rPr>
        <w:t>Indemnification Sources</w:t>
      </w:r>
      <w:r>
        <w:rPr>
          <w:rFonts w:ascii="Times New Roman" w:hAnsi="Times New Roman"/>
          <w:color w:val="000000"/>
          <w:sz w:val="20"/>
        </w:rPr>
        <w:t>”</w:t>
      </w:r>
      <w:r>
        <w:rPr>
          <w:rFonts w:ascii="Times New Roman" w:hAnsi="Times New Roman"/>
          <w:color w:val="000000"/>
          <w:sz w:val="24"/>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hAnsi="Times New Roman"/>
          <w:color w:val="000000"/>
          <w:sz w:val="24"/>
          <w:u w:val="single"/>
        </w:rPr>
        <w:t>Indemnitee-Related Entities</w:t>
      </w:r>
      <w:r>
        <w:rPr>
          <w:rFonts w:ascii="Times New Roman" w:hAnsi="Times New Roman"/>
          <w:color w:val="000000"/>
          <w:sz w:val="20"/>
        </w:rPr>
        <w:t>”</w:t>
      </w:r>
      <w:r>
        <w:rPr>
          <w:rFonts w:ascii="Times New Roman" w:hAnsi="Times New Roman"/>
          <w:color w:val="000000"/>
          <w:sz w:val="24"/>
        </w:rPr>
        <w:t>).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hAnsi="Times New Roman"/>
          <w:color w:val="000000"/>
          <w:sz w:val="24"/>
          <w:u w:val="single"/>
        </w:rPr>
        <w:t>Section 5.2</w:t>
      </w:r>
      <w:r>
        <w:rPr>
          <w:rFonts w:ascii="Times New Roman" w:hAnsi="Times New Roman"/>
          <w:color w:val="000000"/>
          <w:sz w:val="24"/>
        </w:rPr>
        <w:t xml:space="preserve">, entitled to enforce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Indemnitee-Related Entity were a party to this Agreement. The Company shall cause each of its Subsidiaries to perform the terms and obligations of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Subsidiary was a party to this Agreement. For purposes of this </w:t>
      </w:r>
      <w:r>
        <w:rPr>
          <w:rFonts w:ascii="Times New Roman" w:hAnsi="Times New Roman"/>
          <w:color w:val="000000"/>
          <w:sz w:val="24"/>
          <w:u w:val="single"/>
        </w:rPr>
        <w:t>Section 5.2</w:t>
      </w:r>
      <w:r>
        <w:rPr>
          <w:rFonts w:ascii="Times New Roman" w:hAnsi="Times New Roman"/>
          <w:color w:val="000000"/>
          <w:sz w:val="24"/>
        </w:rPr>
        <w:t>, the term “</w:t>
      </w:r>
      <w:r>
        <w:rPr>
          <w:rFonts w:ascii="Times New Roman" w:hAnsi="Times New Roman"/>
          <w:color w:val="000000"/>
          <w:sz w:val="24"/>
          <w:u w:val="single"/>
        </w:rPr>
        <w:t>Jointly Indemnifiable Claims</w:t>
      </w:r>
      <w:r>
        <w:rPr>
          <w:rFonts w:ascii="Times New Roman" w:hAnsi="Times New Roman"/>
          <w:color w:val="000000"/>
          <w:sz w:val="20"/>
        </w:rPr>
        <w:t xml:space="preserve">” </w:t>
      </w:r>
      <w:r>
        <w:rPr>
          <w:rFonts w:ascii="Times New Roman" w:hAnsi="Times New Roman"/>
          <w:color w:val="000000"/>
          <w:sz w:val="24"/>
        </w:rPr>
        <w:t>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Non-Exclusive Right</w:t>
      </w:r>
      <w:r>
        <w:rPr>
          <w:rFonts w:ascii="Times New Roman" w:hAnsi="Times New Roman"/>
          <w:color w:val="000000"/>
          <w:sz w:val="24"/>
        </w:rPr>
        <w:t xml:space="preserve">. The rights of any Indemnitee to indemnification in this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Directors and Officers Insurance</w:t>
      </w:r>
      <w:r>
        <w:rPr>
          <w:rFonts w:ascii="Times New Roman" w:hAnsi="Times New Roman"/>
          <w:color w:val="000000"/>
          <w:sz w:val="24"/>
        </w:rPr>
        <w:t>. The Company shall use its reasonable best efforts to purchase and maintain a policy or policies of directors’ and officers’ liability insurance which insurance shall cover each member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Other Rights of Designees</w:t>
      </w:r>
      <w:r>
        <w:rPr>
          <w:rFonts w:ascii="Times New Roman" w:hAnsi="Times New Roman"/>
          <w:color w:val="000000"/>
          <w:sz w:val="24"/>
        </w:rPr>
        <w:t xml:space="preserve">. Except as provided in </w:t>
      </w:r>
      <w:r>
        <w:rPr>
          <w:rFonts w:ascii="Times New Roman" w:hAnsi="Times New Roman"/>
          <w:color w:val="000000"/>
          <w:sz w:val="24"/>
          <w:u w:val="single"/>
        </w:rPr>
        <w:t>Section 2.2</w:t>
      </w:r>
      <w:r>
        <w:rPr>
          <w:rFonts w:ascii="Times New Roman" w:hAnsi="Times New Roman"/>
          <w:color w:val="000000"/>
          <w:sz w:val="24"/>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val="false"/>
          <w:caps/>
          <w:color w:val="010000"/>
          <w:sz w:val="24"/>
        </w:rPr>
      </w:pPr>
      <w:r>
        <w:rPr>
          <w:rFonts w:ascii="Times New Roman" w:hAnsi="Times New Roman"/>
          <w:b w:val="false"/>
          <w:caps/>
          <w:color w:val="010000"/>
          <w:sz w:val="24"/>
        </w:rPr>
        <w:t>ARTICLE VI.</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GENERAL PROVISIONS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Termination</w:t>
      </w:r>
      <w:r>
        <w:rPr>
          <w:rFonts w:ascii="Times New Roman" w:hAnsi="Times New Roman"/>
          <w:color w:val="000000"/>
          <w:sz w:val="24"/>
        </w:rPr>
        <w:t xml:space="preserve">. Subject to the early termination of any provision as a result of an amendment to this Agreement agreed to by the Board and the Designating Stockholders, as provided under </w:t>
      </w:r>
      <w:r>
        <w:rPr>
          <w:rFonts w:ascii="Times New Roman" w:hAnsi="Times New Roman"/>
          <w:color w:val="000000"/>
          <w:sz w:val="24"/>
          <w:u w:val="single"/>
        </w:rPr>
        <w:t>Section 6.3</w:t>
      </w:r>
      <w:r>
        <w:rPr>
          <w:rFonts w:ascii="Times New Roman" w:hAnsi="Times New Roman"/>
          <w:color w:val="000000"/>
          <w:sz w:val="24"/>
        </w:rPr>
        <w:t xml:space="preserve">, and except for </w:t>
      </w:r>
      <w:r>
        <w:rPr>
          <w:rFonts w:ascii="Times New Roman" w:hAnsi="Times New Roman"/>
          <w:color w:val="000000"/>
          <w:sz w:val="24"/>
          <w:u w:val="single"/>
        </w:rPr>
        <w:t>Section 3.1</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hereof, which shall terminate as provided in those Sections, and the rest of this Agreement, excluding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hereof shall terminate.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Notices</w:t>
      </w:r>
      <w:r>
        <w:rPr>
          <w:rFonts w:ascii="Times New Roman" w:hAnsi="Times New Roman"/>
          <w:color w:val="000000"/>
          <w:sz w:val="24"/>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1712"/>
        <w:gridCol w:w="2533"/>
      </w:tblGrid>
      <w:tr>
        <w:trPr/>
        <w:tc>
          <w:tcPr>
            <w:tcW w:w="1712"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Company’s address is:</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Liftoff Mobile, Inc.</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 Middlefield Road, 2nd Floor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Redwood City, CA 94063</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Each Designating Stockholder’s address is: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BCP Redbird Aggregator L.P.</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 Blackstone Inc.</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345 Park Avenue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New York, NY 10154 </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Sachin Bavishi</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Yip</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7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Amendment; Waiver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terms and provisions of this Agreement may be modified or amended only with the written approval of the Company and the Designating Stockholder Representative.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pStyle w:val="TextBody"/>
        <w:bidi w:val="0"/>
        <w:spacing w:before="0" w:after="240"/>
        <w:jc w:val="left"/>
        <w:rPr>
          <w:rFonts w:ascii="Times New Roman" w:hAnsi="Times New Roman"/>
          <w:sz w:val="20"/>
        </w:rPr>
      </w:pPr>
      <w:r>
        <w:rPr>
          <w:rFonts w:ascii="Times New Roman" w:hAnsi="Times New Roman"/>
          <w:color w:val="000000"/>
          <w:sz w:val="24"/>
        </w:rPr>
        <w:t>(c) 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Any party hereto may unilaterally waive any of its rights hereunder in a signed writing delivered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Further Assurances</w:t>
      </w:r>
      <w:r>
        <w:rPr>
          <w:rFonts w:ascii="Times New Roman" w:hAnsi="Times New Roman"/>
          <w:color w:val="000000"/>
          <w:sz w:val="24"/>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Assignment</w:t>
      </w:r>
      <w:r>
        <w:rPr>
          <w:rFonts w:ascii="Times New Roman" w:hAnsi="Times New Roman"/>
          <w:color w:val="000000"/>
          <w:sz w:val="24"/>
        </w:rPr>
        <w:t xml:space="preserve">. This Agreement may not be assigned without the express prior written consent of the other party hereto, and any attempted assignment, without such consent, will be null and void; </w:t>
      </w:r>
      <w:r>
        <w:rPr>
          <w:rFonts w:ascii="Times New Roman" w:hAnsi="Times New Roman"/>
          <w:i/>
          <w:color w:val="000000"/>
          <w:sz w:val="24"/>
        </w:rPr>
        <w:t>provided</w:t>
      </w:r>
      <w:r>
        <w:rPr>
          <w:rFonts w:ascii="Times New Roman" w:hAnsi="Times New Roman"/>
          <w:color w:val="000000"/>
          <w:sz w:val="24"/>
        </w:rPr>
        <w:t>, however, that, without the prior written consent of any other party hereto, a Designating Stockholder may assign or transfer, in its sole discretion, its rights and obligations under this Agreement, in whole or in part, to any Permitted Transferee of Common Stock,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 This Agreement will inure to the benefit of and be binding on the parties hereto and their respective successors and permitted assigns.</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6.6 </w:t>
      </w:r>
      <w:r>
        <w:rPr>
          <w:rFonts w:ascii="Times New Roman" w:hAnsi="Times New Roman"/>
          <w:color w:val="000000"/>
          <w:sz w:val="24"/>
          <w:u w:val="single"/>
        </w:rPr>
        <w:t>Third Parties</w:t>
      </w:r>
      <w:r>
        <w:rPr>
          <w:rFonts w:ascii="Times New Roman" w:hAnsi="Times New Roman"/>
          <w:color w:val="000000"/>
          <w:sz w:val="24"/>
        </w:rPr>
        <w:t xml:space="preserve">. Except as provided for in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with respect to any Designating Stockholder,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with respect to any Indemnitee or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with respect to a Non-Recourse Party, this Agreement does not create any rights, claims or benefits inuring to any person that is not a party hereto nor create or establish any third party beneficiary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6.7 </w:t>
      </w:r>
      <w:r>
        <w:rPr>
          <w:rFonts w:ascii="Times New Roman" w:hAnsi="Times New Roman"/>
          <w:color w:val="000000"/>
          <w:sz w:val="24"/>
          <w:u w:val="single"/>
        </w:rPr>
        <w:t>Governing Law</w:t>
      </w:r>
      <w:r>
        <w:rPr>
          <w:rFonts w:ascii="Times New Roman" w:hAnsi="Times New Roman"/>
          <w:color w:val="000000"/>
          <w:sz w:val="24"/>
        </w:rPr>
        <w:t>. THIS AGREEMENT AND ITS ENFORCEMENT AND ANY CONTROVERSY ARISING OUT OF OR RELATING TO THE MAKING OR PERFORMANCE OF THIS AGREEMENT SHALL BE GOVERNED BY AND CONSTRUED IN ACCORDANCE WITH THE LAWS OF THE STATE OF DELAWARE.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6.8 </w:t>
      </w:r>
      <w:r>
        <w:rPr>
          <w:rFonts w:ascii="Times New Roman" w:hAnsi="Times New Roman"/>
          <w:color w:val="000000"/>
          <w:sz w:val="24"/>
          <w:u w:val="single"/>
        </w:rPr>
        <w:t>Jurisdiction; Waiver of Jury Trial</w:t>
      </w:r>
      <w:r>
        <w:rPr>
          <w:rFonts w:ascii="Times New Roman" w:hAnsi="Times New Roman"/>
          <w:color w:val="000000"/>
          <w:sz w:val="24"/>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hAnsi="Times New Roman"/>
          <w:color w:val="000000"/>
          <w:sz w:val="24"/>
          <w:u w:val="single"/>
        </w:rPr>
        <w:t>Section 6.8</w:t>
      </w:r>
      <w:r>
        <w:rPr>
          <w:rFonts w:ascii="Times New Roman" w:hAnsi="Times New Roman"/>
          <w:color w:val="000000"/>
          <w:sz w:val="24"/>
        </w:rPr>
        <w:t xml:space="preserve">,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w:t>
      </w:r>
      <w:r>
        <w:rPr>
          <w:rFonts w:ascii="Times New Roman" w:hAnsi="Times New Roman"/>
          <w:caps/>
          <w:color w:val="000000"/>
          <w:sz w:val="24"/>
        </w:rPr>
        <w:t>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6.9 </w:t>
      </w:r>
      <w:r>
        <w:rPr>
          <w:rFonts w:ascii="Times New Roman" w:hAnsi="Times New Roman"/>
          <w:color w:val="000000"/>
          <w:sz w:val="24"/>
          <w:u w:val="single"/>
        </w:rPr>
        <w:t>Specific Performance</w:t>
      </w:r>
      <w:r>
        <w:rPr>
          <w:rFonts w:ascii="Times New Roman" w:hAnsi="Times New Roman"/>
          <w:color w:val="000000"/>
          <w:sz w:val="24"/>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6.10 </w:t>
      </w:r>
      <w:r>
        <w:rPr>
          <w:rFonts w:ascii="Times New Roman" w:hAnsi="Times New Roman"/>
          <w:color w:val="000000"/>
          <w:sz w:val="24"/>
          <w:u w:val="single"/>
        </w:rPr>
        <w:t>Entire Agreement</w:t>
      </w:r>
      <w:r>
        <w:rPr>
          <w:rFonts w:ascii="Times New Roman" w:hAnsi="Times New Roman"/>
          <w:color w:val="000000"/>
          <w:sz w:val="24"/>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6.11 </w:t>
      </w:r>
      <w:r>
        <w:rPr>
          <w:rFonts w:ascii="Times New Roman" w:hAnsi="Times New Roman"/>
          <w:color w:val="000000"/>
          <w:sz w:val="24"/>
          <w:u w:val="single"/>
        </w:rPr>
        <w:t>Severability</w:t>
      </w:r>
      <w:r>
        <w:rPr>
          <w:rFonts w:ascii="Times New Roman" w:hAnsi="Times New Roman"/>
          <w:color w:val="000000"/>
          <w:sz w:val="24"/>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reformed to be valid and enforceable to the fullest extent permitted by law, and (iii) the application of such provision to other Persons or circumstances or in other jurisdictions shall not be affected thereby.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6.12 </w:t>
      </w:r>
      <w:r>
        <w:rPr>
          <w:rFonts w:ascii="Times New Roman" w:hAnsi="Times New Roman"/>
          <w:color w:val="000000"/>
          <w:sz w:val="24"/>
          <w:u w:val="single"/>
        </w:rPr>
        <w:t>Table of Contents, Headings and Captions</w:t>
      </w:r>
      <w:r>
        <w:rPr>
          <w:rFonts w:ascii="Times New Roman" w:hAnsi="Times New Roman"/>
          <w:color w:val="000000"/>
          <w:sz w:val="24"/>
        </w:rPr>
        <w:t>. The table of contents, headings, subheadings and captions contained in this Agreement are included for convenience of reference only, and in no way define, limit or describe the scope of this Agreement or the intent of any provision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6.13 </w:t>
      </w:r>
      <w:r>
        <w:rPr>
          <w:rFonts w:ascii="Times New Roman" w:hAnsi="Times New Roman"/>
          <w:color w:val="000000"/>
          <w:sz w:val="24"/>
          <w:u w:val="single"/>
        </w:rPr>
        <w:t>Grant of Consent</w:t>
      </w:r>
      <w:r>
        <w:rPr>
          <w:rFonts w:ascii="Times New Roman" w:hAnsi="Times New Roman"/>
          <w:color w:val="000000"/>
          <w:sz w:val="24"/>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hereof by the Designating Stockholder Representative as of the latest date any such notice is so provided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6.14 </w:t>
      </w:r>
      <w:r>
        <w:rPr>
          <w:rFonts w:ascii="Times New Roman" w:hAnsi="Times New Roman"/>
          <w:color w:val="000000"/>
          <w:sz w:val="24"/>
          <w:u w:val="single"/>
        </w:rPr>
        <w:t>Counterparts</w:t>
      </w:r>
      <w:r>
        <w:rPr>
          <w:rFonts w:ascii="Times New Roman" w:hAnsi="Times New Roman"/>
          <w:color w:val="000000"/>
          <w:sz w:val="24"/>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6.15 </w:t>
      </w:r>
      <w:r>
        <w:rPr>
          <w:rFonts w:ascii="Times New Roman" w:hAnsi="Times New Roman"/>
          <w:color w:val="000000"/>
          <w:sz w:val="24"/>
          <w:u w:val="single"/>
        </w:rPr>
        <w:t>Effectiveness</w:t>
      </w:r>
      <w:r>
        <w:rPr>
          <w:rFonts w:ascii="Times New Roman" w:hAnsi="Times New Roman"/>
          <w:color w:val="000000"/>
          <w:sz w:val="24"/>
        </w:rPr>
        <w:t>. This Agreement shall become effective on the date hereof, among the Company and the other parties thereto.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6.16 </w:t>
      </w:r>
      <w:r>
        <w:rPr>
          <w:rFonts w:ascii="Times New Roman" w:hAnsi="Times New Roman"/>
          <w:color w:val="000000"/>
          <w:sz w:val="24"/>
          <w:u w:val="single"/>
        </w:rPr>
        <w:t>No Recourse</w:t>
      </w:r>
      <w:r>
        <w:rPr>
          <w:rFonts w:ascii="Times New Roman" w:hAnsi="Times New Roman"/>
          <w:color w:val="000000"/>
          <w:sz w:val="24"/>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hAnsi="Times New Roman"/>
          <w:color w:val="000000"/>
          <w:sz w:val="24"/>
          <w:u w:val="single"/>
        </w:rPr>
        <w:t>Non-Recourse Party</w:t>
      </w:r>
      <w:r>
        <w:rPr>
          <w:rFonts w:ascii="Times New Roman" w:hAnsi="Times New Roman"/>
          <w:color w:val="000000"/>
          <w:sz w:val="20"/>
        </w:rPr>
        <w:t>”</w:t>
      </w:r>
      <w:r>
        <w:rPr>
          <w:rFonts w:ascii="Times New Roman" w:hAnsi="Times New Roman"/>
          <w:color w:val="000000"/>
          <w:sz w:val="24"/>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Non-Recourse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hAnsi="Times New Roman"/>
          <w:color w:val="000000"/>
          <w:sz w:val="24"/>
          <w:u w:val="single"/>
        </w:rPr>
        <w:t>Section 6.16</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shall limit any Person’s liability to the extent such Person has committed fraud.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hereto have executed this Agreement on the day and year first above written.</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811"/>
        <w:gridCol w:w="146"/>
        <w:gridCol w:w="534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6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LIFTOFF MOBILE, INC.</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Susan Hansen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Counsel</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DESIGNATING STOCKHOLDERS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BCP REDBIRD AGGREGATOR L.P.</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BCP VII Holdings Manager L.L.C., its general partner</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Sachin Bavishi</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Sachin Bavishi</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Senior Managing Director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Liftoff Mobile, Inc. Stockholders Agreement (BX)</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2" w:name="iron-ex10_3.htm"/>
      <w:bookmarkStart w:id="13" w:name="ksironex10_3"/>
      <w:bookmarkEnd w:id="12"/>
      <w:bookmarkEnd w:id="13"/>
      <w:r>
        <w:rPr>
          <w:rFonts w:ascii="Times New Roman" w:hAnsi="Times New Roman"/>
          <w:b/>
          <w:color w:val="000000"/>
          <w:sz w:val="24"/>
        </w:rPr>
        <w:t>Exhibit 10.3</w:t>
      </w:r>
      <w:r>
        <w:br w:type="page"/>
      </w:r>
    </w:p>
    <w:p>
      <w:pPr>
        <w:pStyle w:val="TextBody"/>
        <w:bidi w:val="0"/>
        <w:jc w:val="right"/>
        <w:rPr/>
      </w:pPr>
      <w:r>
        <w:rPr/>
        <w:t> </w:t>
      </w:r>
    </w:p>
    <w:p>
      <w:pPr>
        <w:pStyle w:val="TextBody"/>
        <w:bidi w:val="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STOCKHOLDERS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DATED AS OF JUNE 3, 2026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LIFTOFF MOBILE,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GENERAL ATLANTIC (LFT), L.P.</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bookmarkStart w:id="14" w:name="tocheading"/>
      <w:bookmarkEnd w:id="14"/>
      <w:r>
        <w:rPr>
          <w:rFonts w:ascii="Times New Roman" w:hAnsi="Times New Roman"/>
          <w:b/>
          <w:color w:val="000000"/>
          <w:sz w:val="24"/>
        </w:rPr>
        <w:t>Table of Contents</w:t>
      </w:r>
    </w:p>
    <w:p>
      <w:pPr>
        <w:pStyle w:val="TextBody"/>
        <w:bidi w:val="0"/>
        <w:jc w:val="right"/>
        <w:rPr/>
      </w:pPr>
      <w:r>
        <w:rPr/>
        <w:t> </w:t>
      </w:r>
    </w:p>
    <w:tbl>
      <w:tblPr>
        <w:tblW w:w="7606" w:type="dxa"/>
        <w:jc w:val="left"/>
        <w:tblInd w:w="0" w:type="dxa"/>
        <w:tblLayout w:type="fixed"/>
        <w:tblCellMar>
          <w:top w:w="28" w:type="dxa"/>
          <w:left w:w="28" w:type="dxa"/>
          <w:bottom w:w="28" w:type="dxa"/>
          <w:right w:w="28" w:type="dxa"/>
        </w:tblCellMar>
      </w:tblPr>
      <w:tblGrid>
        <w:gridCol w:w="1486"/>
        <w:gridCol w:w="5009"/>
        <w:gridCol w:w="1111"/>
      </w:tblGrid>
      <w:tr>
        <w:trPr/>
        <w:tc>
          <w:tcPr>
            <w:tcW w:w="1486" w:type="dxa"/>
            <w:tcBorders/>
            <w:vAlign w:val="center"/>
          </w:tcPr>
          <w:p>
            <w:pPr>
              <w:pStyle w:val="TableContents"/>
              <w:bidi w:val="0"/>
              <w:spacing w:before="0" w:after="283"/>
              <w:jc w:val="left"/>
              <w:rPr>
                <w:sz w:val="4"/>
                <w:szCs w:val="4"/>
              </w:rPr>
            </w:pPr>
            <w:r>
              <w:rPr>
                <w:sz w:val="4"/>
                <w:szCs w:val="4"/>
              </w:rPr>
            </w:r>
          </w:p>
        </w:tc>
        <w:tc>
          <w:tcPr>
            <w:tcW w:w="50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Page</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w:t>
            </w:r>
            <w:r>
              <w:rPr>
                <w:rFonts w:ascii="Times New Roman" w:hAnsi="Times New Roman"/>
                <w:color w:val="000000"/>
                <w:sz w:val="24"/>
              </w:rPr>
              <w:t> INTRODUCTORY MATTERS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1.1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Defined Terms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1.2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w:t>
            </w:r>
            <w:r>
              <w:rPr>
                <w:rFonts w:ascii="Times New Roman" w:hAnsi="Times New Roman"/>
                <w:color w:val="000000"/>
                <w:sz w:val="24"/>
              </w:rPr>
              <w:t> CORPORATE GOVERNANCE MATTERS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2.1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Election of Directors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2.2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III.</w:t>
            </w:r>
            <w:r>
              <w:rPr>
                <w:rFonts w:ascii="Times New Roman" w:hAnsi="Times New Roman"/>
                <w:color w:val="000000"/>
                <w:sz w:val="24"/>
              </w:rPr>
              <w:t> INFORMATION; VCOC</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 Access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Reports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VCOC</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3.5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 Sharing</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IV.</w:t>
            </w:r>
            <w:r>
              <w:rPr>
                <w:rFonts w:ascii="Times New Roman" w:hAnsi="Times New Roman"/>
                <w:color w:val="000000"/>
                <w:sz w:val="24"/>
              </w:rPr>
              <w:t> ADDITIONAL COVENANTS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Pledges or Transfers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Spin-Offs or Split-Offs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 Reimbursement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4.4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Issuances for Earn-Out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w:t>
            </w:r>
            <w:r>
              <w:rPr>
                <w:rFonts w:ascii="Times New Roman" w:hAnsi="Times New Roman"/>
                <w:color w:val="000000"/>
                <w:sz w:val="24"/>
              </w:rPr>
              <w:t> INDEMNIFICATION; LIABILITY INSURANCE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of Designating Stockholder</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Jointly Indemnifiable Claims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Non-Exclusive Right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 and Officers Insurance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5.5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Rights of Designees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64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10000"/>
                <w:sz w:val="24"/>
              </w:rPr>
              <w:t>ARTICLE VI.</w:t>
            </w:r>
            <w:r>
              <w:rPr>
                <w:rFonts w:ascii="Times New Roman" w:hAnsi="Times New Roman"/>
                <w:color w:val="000000"/>
                <w:sz w:val="24"/>
              </w:rPr>
              <w:t> GENERAL PROVISIONS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18</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Waiver</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19</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6.6</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Parties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6.7</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6.8</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Waiver of Jury Trial</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20</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6.9</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6.10</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6.11</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6.12</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and Captions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6.13</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of Consent</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6.14</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21</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6.15</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Effectiveness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22</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6.16</w:t>
            </w:r>
          </w:p>
        </w:tc>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STOCKHOLDERS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Stockholders Agreement is entered into as of June 3, 2026 between Liftoff Mobile,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other parties from time to time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0" w:after="240"/>
        <w:jc w:val="left"/>
        <w:rPr>
          <w:rFonts w:ascii="Times New Roman" w:hAnsi="Times New Roman"/>
          <w:sz w:val="20"/>
        </w:rPr>
      </w:pPr>
      <w:r>
        <w:rPr>
          <w:rFonts w:ascii="Times New Roman" w:hAnsi="Times New Roman"/>
          <w:color w:val="000000"/>
          <w:sz w:val="24"/>
        </w:rPr>
        <w:t>WHEREAS, the Company is effecting an underwritten initial public offering (“</w:t>
      </w:r>
      <w:r>
        <w:rPr>
          <w:rFonts w:ascii="Times New Roman" w:hAnsi="Times New Roman"/>
          <w:color w:val="000000"/>
          <w:sz w:val="24"/>
          <w:u w:val="single"/>
        </w:rPr>
        <w:t>IPO</w:t>
      </w:r>
      <w:r>
        <w:rPr>
          <w:rFonts w:ascii="Times New Roman" w:hAnsi="Times New Roman"/>
          <w:color w:val="000000"/>
          <w:sz w:val="20"/>
        </w:rPr>
        <w:t>”</w:t>
      </w:r>
      <w:r>
        <w:rPr>
          <w:rFonts w:ascii="Times New Roman" w:hAnsi="Times New Roman"/>
          <w:color w:val="000000"/>
          <w:sz w:val="24"/>
        </w:rPr>
        <w:t>) of shares of its Common Stock (as defined below);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the IPO, the Company and the Designating Stockholders (as defined below) wish to set forth certain understandings between such parties, including with respect to certain governance matters.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the parties agree as follows:</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w:t>
      </w:r>
      <w:r>
        <w:rPr>
          <w:rFonts w:ascii="Times New Roman" w:hAnsi="Times New Roman"/>
          <w:b w:val="false"/>
          <w:caps/>
          <w:color w:val="000000"/>
          <w:sz w:val="24"/>
        </w:rPr>
        <w:br/>
        <w:t>INTRODUCTORY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Defined Terms</w:t>
      </w:r>
      <w:r>
        <w:rPr>
          <w:rFonts w:ascii="Times New Roman" w:hAnsi="Times New Roman"/>
          <w:color w:val="000000"/>
          <w:sz w:val="24"/>
        </w:rPr>
        <w:t>. In addition to the terms defined elsewhere herein, the following terms have the following meanings when used herein with initial capital letters:</w:t>
      </w:r>
      <w:r>
        <w:rPr>
          <w:rFonts w:ascii="Times New Roman" w:hAnsi="Times New Roman"/>
          <w:color w:val="000000"/>
          <w:sz w:val="20"/>
        </w:rPr>
        <w:t xml:space="preserve"> </w:t>
      </w:r>
    </w:p>
    <w:p>
      <w:pPr>
        <w:pStyle w:val="TextBody"/>
        <w:bidi w:val="0"/>
        <w:spacing w:before="0" w:after="240"/>
        <w:jc w:val="left"/>
        <w:rPr/>
      </w:pPr>
      <w:r>
        <w:rPr>
          <w:color w:val="000000"/>
          <w:u w:val="single"/>
        </w:rPr>
        <w:t>“</w:t>
      </w:r>
      <w:r>
        <w:rPr>
          <w:rFonts w:ascii="Times New Roman" w:hAnsi="Times New Roman"/>
          <w:color w:val="000000"/>
          <w:sz w:val="24"/>
          <w:u w:val="single"/>
        </w:rPr>
        <w:t>2020 Merger Agreement</w:t>
      </w:r>
      <w:r>
        <w:rPr>
          <w:rFonts w:ascii="Times New Roman" w:hAnsi="Times New Roman"/>
          <w:color w:val="000000"/>
          <w:sz w:val="20"/>
        </w:rPr>
        <w:t xml:space="preserve">” </w:t>
      </w:r>
      <w:r>
        <w:rPr>
          <w:rFonts w:ascii="Times New Roman" w:hAnsi="Times New Roman"/>
          <w:color w:val="000000"/>
          <w:sz w:val="24"/>
        </w:rPr>
        <w:t>means the Merger Agreement, dated as of December 18, 2020, by and among the Company, Booster Merger Sub, Inc. and Liftoff Mobile, Inc.</w:t>
      </w:r>
    </w:p>
    <w:p>
      <w:pPr>
        <w:pStyle w:val="TextBody"/>
        <w:bidi w:val="0"/>
        <w:spacing w:before="0" w:after="240"/>
        <w:jc w:val="left"/>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has the meaning set forth in Rule 12b-2 promulgated under the Exchange Act, as in effect on the date 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notwithstanding the foregoing, an Affiliate shall not include any Portfolio Company of any Person or the Designating Stockholders and neither the Company nor any of its Affiliates shall be deemed an Affiliate of a Designating Stockholder or its Affiliates or Portfolio Companies.</w:t>
      </w:r>
    </w:p>
    <w:p>
      <w:pPr>
        <w:pStyle w:val="TextBody"/>
        <w:bidi w:val="0"/>
        <w:spacing w:before="0" w:after="24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 this Stockholders Agreement, as the same may be amended, supplemented, restated or otherwise modified from time to time in accordance with the terms hereof.</w:t>
      </w:r>
    </w:p>
    <w:p>
      <w:pPr>
        <w:pStyle w:val="TextBody"/>
        <w:bidi w:val="0"/>
        <w:spacing w:before="0" w:after="240"/>
        <w:jc w:val="left"/>
        <w:rPr/>
      </w:pPr>
      <w:r>
        <w:rPr>
          <w:color w:val="000000"/>
        </w:rPr>
        <w:t>“</w:t>
      </w:r>
      <w:r>
        <w:rPr>
          <w:rFonts w:ascii="Times New Roman" w:hAnsi="Times New Roman"/>
          <w:color w:val="000000"/>
          <w:sz w:val="24"/>
          <w:u w:val="single"/>
        </w:rPr>
        <w:t>Beneficially Own</w:t>
      </w:r>
      <w:r>
        <w:rPr>
          <w:rFonts w:ascii="Times New Roman" w:hAnsi="Times New Roman"/>
          <w:color w:val="000000"/>
          <w:sz w:val="20"/>
        </w:rPr>
        <w:t xml:space="preserve">” </w:t>
      </w:r>
      <w:r>
        <w:rPr>
          <w:rFonts w:ascii="Times New Roman" w:hAnsi="Times New Roman"/>
          <w:color w:val="000000"/>
          <w:sz w:val="24"/>
        </w:rPr>
        <w:t>has the meaning set forth in Rule 13d-3 promulgated under the Exchange Act.</w:t>
      </w:r>
    </w:p>
    <w:p>
      <w:pPr>
        <w:pStyle w:val="TextBody"/>
        <w:bidi w:val="0"/>
        <w:spacing w:before="0" w:after="240"/>
        <w:jc w:val="left"/>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a Sunday, or a holiday on which national banking associations in the State of New York are authorized by law to close.</w:t>
      </w:r>
    </w:p>
    <w:p>
      <w:pPr>
        <w:pStyle w:val="TextBody"/>
        <w:bidi w:val="0"/>
        <w:spacing w:before="0" w:after="240"/>
        <w:jc w:val="left"/>
        <w:rPr/>
      </w:pPr>
      <w:r>
        <w:rPr>
          <w:color w:val="000000"/>
        </w:rPr>
        <w:t>“</w:t>
      </w:r>
      <w:r>
        <w:rPr>
          <w:rFonts w:ascii="Times New Roman" w:hAnsi="Times New Roman"/>
          <w:color w:val="000000"/>
          <w:sz w:val="24"/>
          <w:u w:val="single"/>
        </w:rPr>
        <w:t>Certificate of Designations</w:t>
      </w:r>
      <w:r>
        <w:rPr>
          <w:rFonts w:ascii="Times New Roman" w:hAnsi="Times New Roman"/>
          <w:color w:val="000000"/>
          <w:sz w:val="20"/>
        </w:rPr>
        <w:t xml:space="preserve">” </w:t>
      </w:r>
      <w:r>
        <w:rPr>
          <w:rFonts w:ascii="Times New Roman" w:hAnsi="Times New Roman"/>
          <w:color w:val="000000"/>
          <w:sz w:val="24"/>
        </w:rPr>
        <w:t>means the Certificate of Designations of the Company establishing the Series A Convertible Preferred Stock as in effect immediately prior to the Conversion Date.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shares of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pStyle w:val="TextBody"/>
        <w:bidi w:val="0"/>
        <w:spacing w:before="0" w:after="240"/>
        <w:jc w:val="left"/>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left"/>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 xml:space="preserve">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Confidential Information does not include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is or has become publicly available other than as a result of a disclosure by a Designating Stockholder or its designated representatives in violation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that was already known to a Designating Stockholder or its designated representatives or was in the possession of a Designating Stockholder or its designated representatives prior to its being furnished by or on behalf of the Company or its designated representatives;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that is received by a Designating Stockholder or its designated representatives from a source other than the Company or its designated representatives, </w:t>
      </w:r>
      <w:r>
        <w:rPr>
          <w:rFonts w:ascii="Times New Roman" w:hAnsi="Times New Roman"/>
          <w:i/>
          <w:color w:val="000000"/>
          <w:sz w:val="24"/>
        </w:rPr>
        <w:t>provided</w:t>
      </w:r>
      <w:r>
        <w:rPr>
          <w:rFonts w:ascii="Times New Roman" w:hAnsi="Times New Roman"/>
          <w:color w:val="000000"/>
          <w:sz w:val="24"/>
        </w:rPr>
        <w:t>, that the source of such information was not actually known by a Designating Stockholder or designated representative to be bound by a confidentiality agreement with, or other contractual obligation of confidentiality to,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was independently developed or acquired by a Designating Stockholder or its designated representatives or on its or their behalf without the violation of the terms of this Agreement.</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0"/>
        </w:rPr>
        <w:t>”</w:t>
      </w:r>
      <w:r>
        <w:rPr>
          <w:rFonts w:ascii="Times New Roman" w:hAnsi="Times New Roman"/>
          <w:color w:val="000000"/>
          <w:sz w:val="24"/>
        </w:rPr>
        <w:t>) means possession, directly or indirectly, of the power to direct or cause the direction of management or policies (whether through ownership of securities or partnership or other ownership interests, by contract or otherwise) of a Person.</w:t>
      </w:r>
    </w:p>
    <w:p>
      <w:pPr>
        <w:pStyle w:val="TextBody"/>
        <w:bidi w:val="0"/>
        <w:spacing w:before="0" w:after="240"/>
        <w:jc w:val="left"/>
        <w:rPr/>
      </w:pPr>
      <w:r>
        <w:rPr>
          <w:color w:val="000000"/>
        </w:rPr>
        <w:t>“</w:t>
      </w:r>
      <w:r>
        <w:rPr>
          <w:rFonts w:ascii="Times New Roman" w:hAnsi="Times New Roman"/>
          <w:color w:val="000000"/>
          <w:sz w:val="24"/>
          <w:u w:val="single"/>
        </w:rPr>
        <w:t>Conversion Date</w:t>
      </w:r>
      <w:r>
        <w:rPr>
          <w:rFonts w:ascii="Times New Roman" w:hAnsi="Times New Roman"/>
          <w:color w:val="000000"/>
          <w:sz w:val="20"/>
        </w:rPr>
        <w:t xml:space="preserve">” </w:t>
      </w:r>
      <w:r>
        <w:rPr>
          <w:rFonts w:ascii="Times New Roman" w:hAnsi="Times New Roman"/>
          <w:color w:val="000000"/>
          <w:sz w:val="24"/>
        </w:rPr>
        <w:t>means the date on which the Series A Convertible Preferred Stock converted into Class A common stock, par value $0.0001 per share, of the Company prior to the consummation of the IPO.</w:t>
      </w:r>
    </w:p>
    <w:p>
      <w:pPr>
        <w:pStyle w:val="TextBody"/>
        <w:bidi w:val="0"/>
        <w:spacing w:before="0" w:after="240"/>
        <w:jc w:val="left"/>
        <w:rPr/>
      </w:pPr>
      <w:r>
        <w:rPr>
          <w:color w:val="000000"/>
        </w:rPr>
        <w:t>“</w:t>
      </w:r>
      <w:r>
        <w:rPr>
          <w:rFonts w:ascii="Times New Roman" w:hAnsi="Times New Roman"/>
          <w:color w:val="000000"/>
          <w:sz w:val="24"/>
          <w:u w:val="single"/>
        </w:rPr>
        <w:t>Designating Stockholders</w:t>
      </w:r>
      <w:r>
        <w:rPr>
          <w:rFonts w:ascii="Times New Roman" w:hAnsi="Times New Roman"/>
          <w:color w:val="000000"/>
          <w:sz w:val="20"/>
        </w:rPr>
        <w:t xml:space="preserve">” </w:t>
      </w:r>
      <w:r>
        <w:rPr>
          <w:rFonts w:ascii="Times New Roman" w:hAnsi="Times New Roman"/>
          <w:color w:val="000000"/>
          <w:sz w:val="24"/>
        </w:rPr>
        <w:t xml:space="preserve">means the entities listed on the signature pages hereto under the heading “Designating Stockholders” and each Person that executes a joinder agreement pursuant to </w:t>
      </w:r>
      <w:r>
        <w:rPr>
          <w:rFonts w:ascii="Times New Roman" w:hAnsi="Times New Roman"/>
          <w:color w:val="000000"/>
          <w:sz w:val="24"/>
          <w:u w:val="single"/>
        </w:rPr>
        <w:t>Section 6.5(b)</w:t>
      </w:r>
      <w:r>
        <w:rPr>
          <w:rFonts w:ascii="Times New Roman" w:hAnsi="Times New Roman"/>
          <w:color w:val="000000"/>
          <w:sz w:val="20"/>
        </w:rPr>
        <w:t xml:space="preserve"> </w:t>
      </w:r>
      <w:r>
        <w:rPr>
          <w:rFonts w:ascii="Times New Roman" w:hAnsi="Times New Roman"/>
          <w:color w:val="000000"/>
          <w:sz w:val="24"/>
        </w:rPr>
        <w:t>as a Permitted Transferee.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Designating Stockholder Representative</w:t>
      </w:r>
      <w:r>
        <w:rPr>
          <w:rFonts w:ascii="Times New Roman" w:hAnsi="Times New Roman"/>
          <w:color w:val="000000"/>
          <w:sz w:val="20"/>
        </w:rPr>
        <w:t xml:space="preserve">” </w:t>
      </w:r>
      <w:r>
        <w:rPr>
          <w:rFonts w:ascii="Times New Roman" w:hAnsi="Times New Roman"/>
          <w:color w:val="000000"/>
          <w:sz w:val="24"/>
        </w:rPr>
        <w:t>means the Designating Stockholder, or any group of Designating Stockholders collectively, then holding of record a majority of Total Outstanding Securities held of record by all Designating Stockholders.</w:t>
      </w:r>
    </w:p>
    <w:p>
      <w:pPr>
        <w:pStyle w:val="TextBody"/>
        <w:bidi w:val="0"/>
        <w:spacing w:before="0" w:after="240"/>
        <w:jc w:val="left"/>
        <w:rPr/>
      </w:pPr>
      <w:r>
        <w:rPr>
          <w:color w:val="000000"/>
        </w:rPr>
        <w:t>“</w:t>
      </w:r>
      <w:r>
        <w:rPr>
          <w:rFonts w:ascii="Times New Roman" w:hAnsi="Times New Roman"/>
          <w:color w:val="000000"/>
          <w:sz w:val="24"/>
          <w:u w:val="single"/>
        </w:rPr>
        <w:t>Designee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2.1(a)</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means any director of the Company from time to time.</w:t>
      </w:r>
    </w:p>
    <w:p>
      <w:pPr>
        <w:pStyle w:val="TextBody"/>
        <w:bidi w:val="0"/>
        <w:spacing w:before="0" w:after="240"/>
        <w:jc w:val="left"/>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 as the same may be amended from time to time.</w:t>
      </w:r>
    </w:p>
    <w:p>
      <w:pPr>
        <w:pStyle w:val="TextBody"/>
        <w:bidi w:val="0"/>
        <w:spacing w:before="0" w:after="240"/>
        <w:jc w:val="left"/>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pStyle w:val="TextBody"/>
        <w:bidi w:val="0"/>
        <w:spacing w:before="0" w:after="240"/>
        <w:jc w:val="left"/>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IPO</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NewCo</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Non-Recourse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color w:val="000000"/>
          <w:sz w:val="24"/>
          <w:u w:val="single"/>
        </w:rPr>
        <w:t>Permitted Pledge</w:t>
      </w:r>
      <w:r>
        <w:rPr>
          <w:rFonts w:ascii="Times New Roman" w:hAnsi="Times New Roman"/>
          <w:color w:val="000000"/>
          <w:sz w:val="20"/>
        </w:rPr>
        <w:t xml:space="preserve">” </w:t>
      </w:r>
      <w:r>
        <w:rPr>
          <w:rFonts w:ascii="Times New Roman" w:hAnsi="Times New Roman"/>
          <w:color w:val="000000"/>
          <w:sz w:val="24"/>
        </w:rPr>
        <w:t>means any pledge, hypothecation or grant of security over shares by a Designating Stockholder or any Affiliate thereof with respect to all or any portion of its shares of Common Stock (or any beneficial interest therein) to or in favor of any bank or financial institution as collateral for (i) any loan, advance, extension of credit or (ii) any derivative transaction referencing the Common Stock (including, without limitation, any transaction which transfers some or all of the economic risk of ownership of Common Stock, including any forward contract, equity swap, put or call, put or call equivalent position, collar, sale of exchangeable security or any similar transaction).</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rFonts w:ascii="Times New Roman" w:hAnsi="Times New Roman"/>
          <w:color w:val="000000"/>
          <w:sz w:val="20"/>
        </w:rPr>
        <w:t xml:space="preserve">” </w:t>
      </w:r>
      <w:r>
        <w:rPr>
          <w:rFonts w:ascii="Times New Roman" w:hAnsi="Times New Roman"/>
          <w:color w:val="000000"/>
          <w:sz w:val="24"/>
        </w:rPr>
        <w:t>means with respect to a Designating Stockholder, a Transferee of shares of Common Stock that agrees to become party to, and be bound to the same extent as its transferor, by the terms of this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pStyle w:val="TextBody"/>
        <w:bidi w:val="0"/>
        <w:spacing w:before="0" w:after="240"/>
        <w:jc w:val="left"/>
        <w:rPr/>
      </w:pPr>
      <w:r>
        <w:rPr>
          <w:color w:val="000000"/>
        </w:rPr>
        <w:t>“</w:t>
      </w:r>
      <w:r>
        <w:rPr>
          <w:rFonts w:ascii="Times New Roman" w:hAnsi="Times New Roman"/>
          <w:color w:val="000000"/>
          <w:sz w:val="24"/>
          <w:u w:val="single"/>
        </w:rPr>
        <w:t>Plan Asset Regulation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pPr>
      <w:r>
        <w:rPr>
          <w:color w:val="000000"/>
        </w:rPr>
        <w:t>“</w:t>
      </w:r>
      <w:r>
        <w:rPr>
          <w:rFonts w:ascii="Times New Roman" w:hAnsi="Times New Roman"/>
          <w:color w:val="000000"/>
          <w:sz w:val="24"/>
          <w:u w:val="single"/>
        </w:rPr>
        <w:t>Portfolio Company</w:t>
      </w:r>
      <w:r>
        <w:rPr>
          <w:rFonts w:ascii="Times New Roman" w:hAnsi="Times New Roman"/>
          <w:color w:val="000000"/>
          <w:sz w:val="20"/>
        </w:rPr>
        <w:t xml:space="preserve">” </w:t>
      </w:r>
      <w:r>
        <w:rPr>
          <w:rFonts w:ascii="Times New Roman" w:hAnsi="Times New Roman"/>
          <w:color w:val="000000"/>
          <w:sz w:val="24"/>
        </w:rPr>
        <w:t>means a portfolio company in which such Person or such Person’s investment funds have made a debt or equity investment (and vice versa).</w:t>
      </w:r>
    </w:p>
    <w:p>
      <w:pPr>
        <w:pStyle w:val="TextBody"/>
        <w:bidi w:val="0"/>
        <w:spacing w:before="0" w:after="240"/>
        <w:jc w:val="left"/>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by and among the Company and the other parties thereto, dated on or about the date hereof, as such agreement may be amended and/or restated from time to time.</w:t>
      </w:r>
    </w:p>
    <w:p>
      <w:pPr>
        <w:pStyle w:val="TextBody"/>
        <w:bidi w:val="0"/>
        <w:spacing w:before="0" w:after="240"/>
        <w:jc w:val="left"/>
        <w:rPr/>
      </w:pPr>
      <w:r>
        <w:rPr>
          <w:color w:val="000000"/>
        </w:rPr>
        <w:t>“</w:t>
      </w:r>
      <w:r>
        <w:rPr>
          <w:rFonts w:ascii="Times New Roman" w:hAnsi="Times New Roman"/>
          <w:color w:val="000000"/>
          <w:sz w:val="24"/>
          <w:u w:val="single"/>
        </w:rPr>
        <w:t>Restated Certificate of Incorporation</w:t>
      </w:r>
      <w:r>
        <w:rPr>
          <w:rFonts w:ascii="Times New Roman" w:hAnsi="Times New Roman"/>
          <w:color w:val="000000"/>
          <w:sz w:val="20"/>
        </w:rPr>
        <w:t xml:space="preserve">” </w:t>
      </w:r>
      <w:r>
        <w:rPr>
          <w:rFonts w:ascii="Times New Roman" w:hAnsi="Times New Roman"/>
          <w:color w:val="000000"/>
          <w:sz w:val="24"/>
        </w:rPr>
        <w:t>means the Amended and Restated Certificate of Incorporation of the Company, dated on or about the date hereof, as such certificate may be amended and/or restated from time to time.</w:t>
      </w:r>
    </w:p>
    <w:p>
      <w:pPr>
        <w:pStyle w:val="TextBody"/>
        <w:bidi w:val="0"/>
        <w:spacing w:before="0" w:after="240"/>
        <w:jc w:val="left"/>
        <w:rPr/>
      </w:pPr>
      <w:r>
        <w:rPr>
          <w:color w:val="000000"/>
        </w:rPr>
        <w:t>“</w:t>
      </w:r>
      <w:r>
        <w:rPr>
          <w:rFonts w:ascii="Times New Roman" w:hAnsi="Times New Roman"/>
          <w:color w:val="000000"/>
          <w:sz w:val="24"/>
        </w:rPr>
        <w:t xml:space="preserve">Series A Convertible </w:t>
      </w:r>
      <w:r>
        <w:rPr>
          <w:rFonts w:ascii="Times New Roman" w:hAnsi="Times New Roman"/>
          <w:color w:val="000000"/>
          <w:sz w:val="24"/>
          <w:u w:val="single"/>
        </w:rPr>
        <w:t>Preferred Stock</w:t>
      </w:r>
      <w:r>
        <w:rPr>
          <w:rFonts w:ascii="Times New Roman" w:hAnsi="Times New Roman"/>
          <w:color w:val="000000"/>
          <w:sz w:val="20"/>
        </w:rPr>
        <w:t xml:space="preserve">” </w:t>
      </w:r>
      <w:r>
        <w:rPr>
          <w:rFonts w:ascii="Times New Roman" w:hAnsi="Times New Roman"/>
          <w:color w:val="000000"/>
          <w:sz w:val="24"/>
        </w:rPr>
        <w:t>means the Series A Convertible Preferred Stock, $0.0001 par value per share, of the Company, that automatically converted into Class A common stock, $0.0001 par value per share, of the Company on the Conversion Date pursuant to the Certificate of Designations.</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pStyle w:val="TextBody"/>
        <w:bidi w:val="0"/>
        <w:spacing w:before="0" w:after="240"/>
        <w:jc w:val="left"/>
        <w:rPr/>
      </w:pPr>
      <w:r>
        <w:rPr>
          <w:color w:val="000000"/>
        </w:rPr>
        <w:t>“</w:t>
      </w:r>
      <w:r>
        <w:rPr>
          <w:rFonts w:ascii="Times New Roman" w:hAnsi="Times New Roman"/>
          <w:color w:val="000000"/>
          <w:sz w:val="24"/>
          <w:u w:val="single"/>
        </w:rPr>
        <w:t>Total Number of Directors</w:t>
      </w:r>
      <w:r>
        <w:rPr>
          <w:rFonts w:ascii="Times New Roman" w:hAnsi="Times New Roman"/>
          <w:color w:val="000000"/>
          <w:sz w:val="20"/>
        </w:rPr>
        <w:t xml:space="preserve">” </w:t>
      </w:r>
      <w:r>
        <w:rPr>
          <w:rFonts w:ascii="Times New Roman" w:hAnsi="Times New Roman"/>
          <w:color w:val="000000"/>
          <w:sz w:val="24"/>
        </w:rPr>
        <w:t>means the total number of directors comprising the Board from time to time.</w:t>
      </w:r>
    </w:p>
    <w:p>
      <w:pPr>
        <w:pStyle w:val="TextBody"/>
        <w:bidi w:val="0"/>
        <w:spacing w:before="0" w:after="240"/>
        <w:jc w:val="left"/>
        <w:rPr/>
      </w:pPr>
      <w:r>
        <w:rPr>
          <w:color w:val="000000"/>
        </w:rPr>
        <w:t>“</w:t>
      </w:r>
      <w:r>
        <w:rPr>
          <w:rFonts w:ascii="Times New Roman" w:hAnsi="Times New Roman"/>
          <w:color w:val="000000"/>
          <w:sz w:val="24"/>
          <w:u w:val="single"/>
        </w:rPr>
        <w:t>Total Outstanding Securities</w:t>
      </w:r>
      <w:r>
        <w:rPr>
          <w:rFonts w:ascii="Times New Roman" w:hAnsi="Times New Roman"/>
          <w:color w:val="000000"/>
          <w:sz w:val="20"/>
        </w:rPr>
        <w:t xml:space="preserve">” </w:t>
      </w:r>
      <w:r>
        <w:rPr>
          <w:rFonts w:ascii="Times New Roman" w:hAnsi="Times New Roman"/>
          <w:color w:val="000000"/>
          <w:sz w:val="24"/>
        </w:rPr>
        <w:t>means, at any time, the total number of outstanding shares of Common Stock.</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(including its correlative meanings, “</w:t>
      </w:r>
      <w:r>
        <w:rPr>
          <w:rFonts w:ascii="Times New Roman" w:hAnsi="Times New Roman"/>
          <w:color w:val="000000"/>
          <w:sz w:val="24"/>
          <w:u w:val="single"/>
        </w:rPr>
        <w:t>Transferor</w:t>
      </w:r>
      <w:r>
        <w:rPr>
          <w:rFonts w:ascii="Times New Roman" w:hAnsi="Times New Roman"/>
          <w:color w:val="000000"/>
          <w:sz w:val="24"/>
        </w:rPr>
        <w:t>,” “</w:t>
      </w:r>
      <w:r>
        <w:rPr>
          <w:rFonts w:ascii="Times New Roman" w:hAnsi="Times New Roman"/>
          <w:color w:val="000000"/>
          <w:sz w:val="24"/>
          <w:u w:val="single"/>
        </w:rPr>
        <w:t>Transferee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Transferred</w:t>
      </w:r>
      <w:r>
        <w:rPr>
          <w:rFonts w:ascii="Times New Roman" w:hAnsi="Times New Roman"/>
          <w:color w:val="000000"/>
          <w:sz w:val="20"/>
        </w:rPr>
        <w:t>”</w:t>
      </w:r>
      <w:r>
        <w:rPr>
          <w:rFonts w:ascii="Times New Roman" w:hAnsi="Times New Roman"/>
          <w:color w:val="000000"/>
          <w:sz w:val="24"/>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shall have such correlative meaning as the context may require. For the avoidance of doubt, it is understood that a Permitted Pledge shall not be a Transfer and the bank or financial institution in respect of whom the Permitted Pledge is made shall not be treated as a transferee or entitled to any rights under this Agreement as a result of such Permitted Pledge or any foreclosure thereunder.</w:t>
      </w:r>
    </w:p>
    <w:p>
      <w:pPr>
        <w:pStyle w:val="TextBody"/>
        <w:bidi w:val="0"/>
        <w:spacing w:before="0" w:after="240"/>
        <w:jc w:val="left"/>
        <w:rPr/>
      </w:pPr>
      <w:r>
        <w:rPr>
          <w:color w:val="000000"/>
        </w:rPr>
        <w:t>“</w:t>
      </w:r>
      <w:r>
        <w:rPr>
          <w:rFonts w:ascii="Times New Roman" w:hAnsi="Times New Roman"/>
          <w:color w:val="000000"/>
          <w:sz w:val="24"/>
          <w:u w:val="single"/>
        </w:rPr>
        <w:t>VCOC Investor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Construction</w:t>
      </w:r>
      <w:r>
        <w:rPr>
          <w:rFonts w:ascii="Times New Roman" w:hAnsi="Times New Roman"/>
          <w:color w:val="000000"/>
          <w:sz w:val="24"/>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II.</w:t>
      </w:r>
      <w:r>
        <w:rPr>
          <w:rFonts w:ascii="Times New Roman" w:hAnsi="Times New Roman"/>
          <w:b w:val="false"/>
          <w:caps/>
          <w:color w:val="000000"/>
          <w:sz w:val="24"/>
        </w:rPr>
        <w:br/>
        <w:t>CORPORATE GOVERNANCE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Election of Directors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Designating Stockholder Representative shall have the right, but not the obligation, to designate one (1) designee (such person a “Designee”) to the Board for so long as the Designating Stockholders and their Affiliates collectively Beneficially Own at least 5% of the of the Total Outstanding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Designating Stockholders and their Affiliates collectively Beneficially Own at least 2% of the Total Outstanding Securities, the Designating Stockholder Representative may designate one (1) non-voting observer to attend meetings of the Board. Except to the extent that the Board determines in its reasonable discretion that the receipt of such materials would prevent the Company from asserting attorney-client privilege, such non-voting observer shall have the same right to receive at the same time and in the same manner as a Director copies of all materials (including copies of all resolutions, consents and meeting minutes) given 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The non-voting observer may be required by the Board to temporarily leave a meeting of the Board if the presence of the non-voting observer would prevent the Company from asserting attorney-client privilege with respect to matters discussed before the Board at such time.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 xml:space="preserve">If at any time the Designating Stockholder Representative has designated fewer than the total number of individuals that it is then entitled to designate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hAnsi="Times New Roman"/>
          <w:color w:val="000000"/>
          <w:sz w:val="24"/>
          <w:u w:val="single"/>
        </w:rPr>
        <w:t>Section 2.1(c)</w:t>
      </w:r>
      <w:r>
        <w:rPr>
          <w:rFonts w:ascii="Times New Roman" w:hAnsi="Times New Roman"/>
          <w:color w:val="000000"/>
          <w:sz w:val="24"/>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Directors are subject to removal or disqualification pursuant to the applicable provisions of the Restated Certificate of Incorporation and applicable law; </w:t>
      </w:r>
      <w:r>
        <w:rPr>
          <w:rFonts w:ascii="Times New Roman" w:hAnsi="Times New Roman"/>
          <w:i/>
          <w:color w:val="000000"/>
          <w:sz w:val="24"/>
        </w:rPr>
        <w:t>provided, however</w:t>
      </w:r>
      <w:r>
        <w:rPr>
          <w:rFonts w:ascii="Times New Roman" w:hAnsi="Times New Roman"/>
          <w:color w:val="000000"/>
          <w:sz w:val="24"/>
        </w:rPr>
        <w:t xml:space="preserve">, for as long as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Stockholders entitled to designate or cause the appointment of such Designee.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Notwithstanding anything to the contrary set forth in the Restated Certificate of Incorporation or bylaws, 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hAnsi="Times New Roman"/>
          <w:color w:val="000000"/>
          <w:sz w:val="24"/>
          <w:u w:val="single"/>
        </w:rPr>
        <w:t>Section 2.1(c)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2.1(g)</w:t>
      </w:r>
      <w:r>
        <w:rPr>
          <w:color w:val="000000"/>
        </w:rPr>
        <w:t xml:space="preserve"> </w:t>
      </w:r>
      <w:r>
        <w:rPr>
          <w:rFonts w:ascii="Times New Roman" w:hAnsi="Times New Roman"/>
          <w:color w:val="000000"/>
          <w:sz w:val="24"/>
        </w:rPr>
        <w:t xml:space="preserve">hereof, the Designating Stockholder Representative shall have the power, at its election, to appoint or cause to be appointed a new Designee to fill such vacancy or the newly created directorship resulting from such increase.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rPr>
        <w:t xml:space="preserve">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 xml:space="preserve">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rPr>
        <w:t xml:space="preserve">In the event that any Designee shall fail to be elected to the Board at any meeting of stockholders called for the purpose of electing directors (or consent in lieu of meeting), if the Designating Stockholder Representative is entitled to designate a Designee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 xml:space="preserve">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hAnsi="Times New Roman"/>
          <w:color w:val="000000"/>
          <w:sz w:val="24"/>
          <w:u w:val="single"/>
        </w:rPr>
        <w:t>Section 2.1(g)</w:t>
      </w:r>
      <w:r>
        <w:rPr>
          <w:rFonts w:ascii="Times New Roman" w:hAnsi="Times New Roman"/>
          <w:color w:val="000000"/>
          <w:sz w:val="24"/>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hAnsi="Times New Roman"/>
          <w:color w:val="000000"/>
          <w:sz w:val="24"/>
          <w:u w:val="single"/>
        </w:rPr>
        <w:t>Section 2.1</w:t>
      </w:r>
      <w:r>
        <w:rPr>
          <w:rFonts w:ascii="Times New Roman" w:hAnsi="Times New Roman"/>
          <w:color w:val="000000"/>
          <w:sz w:val="24"/>
        </w:rPr>
        <w:t xml:space="preserve">, including its right to designate a Designee for election pursuant to </w:t>
      </w:r>
      <w:r>
        <w:rPr>
          <w:rFonts w:ascii="Times New Roman" w:hAnsi="Times New Roman"/>
          <w:color w:val="000000"/>
          <w:sz w:val="24"/>
          <w:u w:val="single"/>
        </w:rPr>
        <w:t>Section 2.1(a)</w:t>
      </w:r>
      <w:r>
        <w:rPr>
          <w:color w:val="000000"/>
        </w:rPr>
        <w:t xml:space="preserve"> </w:t>
      </w:r>
      <w:r>
        <w:rPr>
          <w:rFonts w:ascii="Times New Roman" w:hAnsi="Times New Roman"/>
          <w:color w:val="000000"/>
          <w:sz w:val="24"/>
        </w:rPr>
        <w:t>hereof in connection with any future election of directors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Compensation</w:t>
      </w:r>
      <w:r>
        <w:rPr>
          <w:rFonts w:ascii="Times New Roman" w:hAnsi="Times New Roman"/>
          <w:color w:val="000000"/>
          <w:sz w:val="24"/>
        </w:rPr>
        <w:t xml:space="preserve">. Except to the extent the Designating Stockholder Representative may otherwise notify the Company and if the Designating Stockholder Representative is entitled to designate a Designee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hereof, the Designees shall be entitled to compensation consistent with the compensation received by other non-employee Directors, including any fees and equity awards, </w:t>
      </w:r>
      <w:r>
        <w:rPr>
          <w:rFonts w:ascii="Times New Roman" w:hAnsi="Times New Roman"/>
          <w:i/>
          <w:color w:val="000000"/>
          <w:sz w:val="24"/>
        </w:rPr>
        <w:t>provided</w:t>
      </w:r>
      <w:r>
        <w:rPr>
          <w:rFonts w:ascii="Times New Roman" w:hAnsi="Times New Roman"/>
          <w:color w:val="000000"/>
          <w:sz w:val="24"/>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III.</w:t>
      </w:r>
      <w:r>
        <w:rPr>
          <w:rFonts w:ascii="Times New Roman" w:hAnsi="Times New Roman"/>
          <w:b w:val="false"/>
          <w:caps/>
          <w:color w:val="000000"/>
          <w:sz w:val="24"/>
        </w:rPr>
        <w:br/>
        <w:t>INFORMATION; VCOC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Books and Records; Access</w:t>
      </w:r>
      <w:r>
        <w:rPr>
          <w:rFonts w:ascii="Times New Roman" w:hAnsi="Times New Roman"/>
          <w:color w:val="000000"/>
          <w:sz w:val="24"/>
        </w:rPr>
        <w:t>.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requested by such Designating Stockholders from time to time (all such information so furnished pursuant to this </w:t>
      </w:r>
      <w:r>
        <w:rPr>
          <w:rFonts w:ascii="Times New Roman" w:hAnsi="Times New Roman"/>
          <w:color w:val="000000"/>
          <w:sz w:val="24"/>
          <w:u w:val="single"/>
        </w:rPr>
        <w:t>Section 3.1</w:t>
      </w:r>
      <w:r>
        <w:rPr>
          <w:rFonts w:ascii="Times New Roman" w:hAnsi="Times New Roman"/>
          <w:color w:val="000000"/>
          <w:sz w:val="24"/>
        </w:rPr>
        <w:t>, the “</w:t>
      </w:r>
      <w:r>
        <w:rPr>
          <w:rFonts w:ascii="Times New Roman" w:hAnsi="Times New Roman"/>
          <w:color w:val="000000"/>
          <w:sz w:val="24"/>
          <w:u w:val="single"/>
        </w:rPr>
        <w:t>Information</w:t>
      </w:r>
      <w:r>
        <w:rPr>
          <w:rFonts w:ascii="Times New Roman" w:hAnsi="Times New Roman"/>
          <w:color w:val="000000"/>
          <w:sz w:val="20"/>
        </w:rPr>
        <w:t>”</w:t>
      </w:r>
      <w:r>
        <w:rPr>
          <w:rFonts w:ascii="Times New Roman" w:hAnsi="Times New Roman"/>
          <w:color w:val="000000"/>
          <w:sz w:val="24"/>
        </w:rPr>
        <w:t xml:space="preserve">). Subject to </w:t>
      </w:r>
      <w:r>
        <w:rPr>
          <w:rFonts w:ascii="Times New Roman" w:hAnsi="Times New Roman"/>
          <w:color w:val="000000"/>
          <w:sz w:val="24"/>
          <w:u w:val="single"/>
        </w:rPr>
        <w:t>Section 3.4</w:t>
      </w:r>
      <w:r>
        <w:rPr>
          <w:rFonts w:ascii="Times New Roman" w:hAnsi="Times New Roman"/>
          <w:color w:val="000000"/>
          <w:sz w:val="24"/>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hAnsi="Times New Roman"/>
          <w:color w:val="000000"/>
          <w:sz w:val="24"/>
          <w:u w:val="single"/>
        </w:rPr>
        <w:t xml:space="preserve">Section 3.1 </w:t>
      </w:r>
      <w:r>
        <w:rPr>
          <w:rFonts w:ascii="Times New Roman" w:hAnsi="Times New Roman"/>
          <w:color w:val="000000"/>
          <w:sz w:val="24"/>
        </w:rPr>
        <w:t>shall terminate at the time the Designating Stockholders and their Affiliates collectively Beneficially Own less than 1% of the Total Outstanding Securities. The Designating Stockholders may elect from time to time by written notice to the Company not to have such information rights for a predetermined period of time (which may be indefinite).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Certain Reports</w:t>
      </w:r>
      <w:r>
        <w:rPr>
          <w:rFonts w:ascii="Times New Roman" w:hAnsi="Times New Roman"/>
          <w:color w:val="000000"/>
          <w:sz w:val="24"/>
        </w:rPr>
        <w:t>. Until such time as the Designating Stockholders and their Affiliates collectively Beneficially Own less than 1% of the Total Outstanding Securities, the Company shall deliver or cause to be delivered to the Designating Stockholders, at their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otherwise prepared by the Company, operating and capital expenditure budgets and periodic information packages relating to the operations and cash flows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the extent otherwise prepared by the Company, such other reports and information as may be reasonably requested by the Designating Stockholders; </w:t>
      </w:r>
    </w:p>
    <w:p>
      <w:pPr>
        <w:pStyle w:val="TextBody"/>
        <w:bidi w:val="0"/>
        <w:spacing w:before="0" w:after="240"/>
        <w:jc w:val="left"/>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that in the cases of clauses (a) and (b),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VCOC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hAnsi="Times New Roman"/>
          <w:color w:val="000000"/>
          <w:sz w:val="24"/>
          <w:u w:val="single"/>
        </w:rPr>
        <w:t>Plan Asset Regulation</w:t>
      </w:r>
      <w:r>
        <w:rPr>
          <w:color w:val="000000"/>
        </w:rPr>
        <w:t>”</w:t>
      </w:r>
      <w:r>
        <w:rPr>
          <w:rFonts w:ascii="Times New Roman" w:hAnsi="Times New Roman"/>
          <w:color w:val="000000"/>
          <w:sz w:val="24"/>
        </w:rPr>
        <w:t>) (each, a “</w:t>
      </w:r>
      <w:r>
        <w:rPr>
          <w:rFonts w:ascii="Times New Roman" w:hAnsi="Times New Roman"/>
          <w:color w:val="000000"/>
          <w:sz w:val="24"/>
          <w:u w:val="single"/>
        </w:rPr>
        <w:t>VCOC Investor</w:t>
      </w:r>
      <w:r>
        <w:rPr>
          <w:color w:val="000000"/>
        </w:rPr>
        <w:t>”</w:t>
      </w:r>
      <w:r>
        <w:rPr>
          <w:rFonts w:ascii="Times New Roman" w:hAnsi="Times New Roman"/>
          <w:color w:val="000000"/>
          <w:sz w:val="24"/>
        </w:rPr>
        <w:t>, and together, the “</w:t>
      </w:r>
      <w:r>
        <w:rPr>
          <w:rFonts w:ascii="Times New Roman" w:hAnsi="Times New Roman"/>
          <w:color w:val="000000"/>
          <w:sz w:val="24"/>
          <w:u w:val="single"/>
        </w:rPr>
        <w:t>VCOC Investors</w:t>
      </w:r>
      <w:r>
        <w:rPr>
          <w:color w:val="000000"/>
        </w:rPr>
        <w:t>”</w:t>
      </w:r>
      <w:r>
        <w:rPr>
          <w:rFonts w:ascii="Times New Roman" w:hAnsi="Times New Roman"/>
          <w:color w:val="000000"/>
          <w:sz w:val="24"/>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 each VCOC Investor or its designated representative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reasonable notice and at mutually convenient times, the right to visit and inspect any of the offices and properties of the Company and its Subsidiaries and inspect and copy the books and records of the Company and its Subsidiaries;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upon written request by a VCOC Investor, copies of all materials provided to the Board, subject to appropriate protections with respect to confidentiality and preservation of attorney-client privilege; </w:t>
      </w:r>
      <w:r>
        <w:rPr>
          <w:rFonts w:ascii="Times New Roman" w:hAnsi="Times New Roman"/>
          <w:i/>
          <w:color w:val="000000"/>
          <w:sz w:val="24"/>
        </w:rPr>
        <w:t>provided</w:t>
      </w:r>
      <w:r>
        <w:rPr>
          <w:rFonts w:ascii="Times New Roman" w:hAnsi="Times New Roman"/>
          <w:color w:val="000000"/>
          <w:sz w:val="24"/>
        </w:rPr>
        <w:t xml:space="preserve">, that, in each case, if the Company makes the information described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3.3(a)(i)</w:t>
      </w:r>
      <w:r>
        <w:rPr>
          <w:color w:val="000000"/>
        </w:rPr>
        <w:t xml:space="preserve"> </w:t>
      </w:r>
      <w:r>
        <w:rPr>
          <w:rFonts w:ascii="Times New Roman" w:hAnsi="Times New Roman"/>
          <w:color w:val="000000"/>
          <w:sz w:val="24"/>
        </w:rPr>
        <w:t>available through public filings on the EDGAR System or any successor or replacement system of the U.S. Securities and Exchange Commission, the requirement to deliver such information shall be deemed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40"/>
        <w:jc w:val="left"/>
        <w:rPr/>
      </w:pPr>
      <w:r>
        <w:rPr>
          <w:rFonts w:ascii="Times New Roman" w:hAnsi="Times New Roman"/>
          <w:color w:val="000000"/>
          <w:sz w:val="24"/>
        </w:rPr>
        <w:t xml:space="preserve">The Company agrees to consider, in good faith, the recommendations of each VCOC Investor or its designated representative in connection with the matters on which it is consulted as described above in this </w:t>
      </w:r>
      <w:r>
        <w:rPr>
          <w:rFonts w:ascii="Times New Roman" w:hAnsi="Times New Roman"/>
          <w:color w:val="000000"/>
          <w:sz w:val="24"/>
          <w:u w:val="single"/>
        </w:rPr>
        <w:t>Section 3.3</w:t>
      </w:r>
      <w:r>
        <w:rPr>
          <w:rFonts w:ascii="Times New Roman" w:hAnsi="Times New Roman"/>
          <w:color w:val="000000"/>
          <w:sz w:val="24"/>
        </w:rPr>
        <w:t>, recognizing that the ultimate discretion with respect to all such matters shall be retained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hAnsi="Times New Roman"/>
          <w:color w:val="000000"/>
          <w:sz w:val="24"/>
          <w:u w:val="single"/>
        </w:rPr>
        <w:t>Sections 3.3(a)</w:t>
      </w:r>
      <w:r>
        <w:rPr>
          <w:rFonts w:ascii="Times New Roman" w:hAnsi="Times New Roman"/>
          <w:color w:val="000000"/>
          <w:sz w:val="24"/>
        </w:rPr>
        <w:t xml:space="preserve">, </w:t>
      </w:r>
      <w:r>
        <w:rPr>
          <w:rFonts w:ascii="Times New Roman" w:hAnsi="Times New Roman"/>
          <w:color w:val="000000"/>
          <w:sz w:val="24"/>
          <w:u w:val="single"/>
        </w:rPr>
        <w:t>3.3(b)</w:t>
      </w:r>
      <w:r>
        <w:rPr>
          <w:rFonts w:ascii="Times New Roman" w:hAnsi="Times New Roman"/>
          <w:color w:val="000000"/>
          <w:sz w:val="24"/>
        </w:rPr>
        <w:t xml:space="preserve">, and </w:t>
      </w:r>
      <w:r>
        <w:rPr>
          <w:rFonts w:ascii="Times New Roman" w:hAnsi="Times New Roman"/>
          <w:color w:val="000000"/>
          <w:sz w:val="24"/>
          <w:u w:val="single"/>
        </w:rPr>
        <w:t>3.3(c)</w:t>
      </w:r>
      <w:r>
        <w:rPr>
          <w:color w:val="000000"/>
        </w:rPr>
        <w:t xml:space="preserve"> </w:t>
      </w:r>
      <w:r>
        <w:rPr>
          <w:rFonts w:ascii="Times New Roman" w:hAnsi="Times New Roman"/>
          <w:color w:val="000000"/>
          <w:sz w:val="24"/>
        </w:rPr>
        <w:t>hereof in a form and substance satisfactory to such VCOC Investor.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rPr>
        <w:t xml:space="preserve">In the event a VCOC Investor is an Affiliate of a Designating Stockholder, as described in </w:t>
      </w:r>
      <w:r>
        <w:rPr>
          <w:rFonts w:ascii="Times New Roman" w:hAnsi="Times New Roman"/>
          <w:color w:val="000000"/>
          <w:sz w:val="24"/>
          <w:u w:val="single"/>
        </w:rPr>
        <w:t>Section 3.3(a)</w:t>
      </w:r>
      <w:r>
        <w:rPr>
          <w:color w:val="000000"/>
        </w:rPr>
        <w:t xml:space="preserve"> </w:t>
      </w:r>
      <w:r>
        <w:rPr>
          <w:rFonts w:ascii="Times New Roman" w:hAnsi="Times New Roman"/>
          <w:color w:val="000000"/>
          <w:sz w:val="24"/>
        </w:rPr>
        <w:t xml:space="preserve">above, such affiliated entity shall be afforded the same rights with respect to the Company and afforded to the Designating Stockholders under this </w:t>
      </w:r>
      <w:r>
        <w:rPr>
          <w:rFonts w:ascii="Times New Roman" w:hAnsi="Times New Roman"/>
          <w:color w:val="000000"/>
          <w:sz w:val="24"/>
          <w:u w:val="single"/>
        </w:rPr>
        <w:t>Section 3.3</w:t>
      </w:r>
      <w:r>
        <w:rPr>
          <w:color w:val="000000"/>
        </w:rPr>
        <w:t xml:space="preserve"> </w:t>
      </w:r>
      <w:r>
        <w:rPr>
          <w:rFonts w:ascii="Times New Roman" w:hAnsi="Times New Roman"/>
          <w:color w:val="000000"/>
          <w:sz w:val="24"/>
        </w:rPr>
        <w:t>and shall be treated, for such purposes, as a third party beneficiary hereunder.</w:t>
      </w:r>
      <w:r>
        <w:rPr>
          <w:color w:val="00000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Confidentiality</w:t>
      </w:r>
      <w:r>
        <w:rPr>
          <w:rFonts w:ascii="Times New Roman" w:hAnsi="Times New Roman"/>
          <w:color w:val="000000"/>
          <w:sz w:val="24"/>
        </w:rPr>
        <w:t xml:space="preserve">. Each Designating Stockholder agrees that it will, and will direct its designated representatives to, keep confidential and not disclose any Confidential Information;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such Designating Stockholder and its designated representatives may disclose Confidential Information to any other Designating Stockholders (including any Designating Stockholders, Designees, or non-voting observers pursuant to any other stockholders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agency or authority having or claiming jurisdiction over such party or any of its properties or assets, </w:t>
      </w:r>
      <w:r>
        <w:rPr>
          <w:rFonts w:ascii="Times New Roman" w:hAnsi="Times New Roman"/>
          <w:i/>
          <w:color w:val="000000"/>
          <w:sz w:val="24"/>
        </w:rPr>
        <w:t>provided</w:t>
      </w:r>
      <w:r>
        <w:rPr>
          <w:rFonts w:ascii="Times New Roman" w:hAnsi="Times New Roman"/>
          <w:color w:val="000000"/>
          <w:sz w:val="24"/>
        </w:rPr>
        <w:t xml:space="preserve">, that such Designating Stockholder or designated representative takes reasonable steps to minimize the extent of any such required disclosure,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each Designating Stockholder agrees to be responsible for any breaches of this </w:t>
      </w: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rPr>
        <w:t>by such Designating Stockholder’s designated representatives.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Information Sharing</w:t>
      </w:r>
      <w:r>
        <w:rPr>
          <w:rFonts w:ascii="Times New Roman" w:hAnsi="Times New Roman"/>
          <w:color w:val="000000"/>
          <w:sz w:val="24"/>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hAnsi="Times New Roman"/>
          <w:color w:val="000000"/>
          <w:sz w:val="24"/>
          <w:u w:val="single"/>
        </w:rPr>
        <w:t>Section 3.4</w:t>
      </w:r>
      <w:r>
        <w:rPr>
          <w:rFonts w:ascii="Times New Roman" w:hAnsi="Times New Roman"/>
          <w:color w:val="000000"/>
          <w:sz w:val="24"/>
        </w:rPr>
        <w:t>).</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IV.</w:t>
      </w:r>
      <w:r>
        <w:rPr>
          <w:rFonts w:ascii="Times New Roman" w:hAnsi="Times New Roman"/>
          <w:b w:val="false"/>
          <w:caps/>
          <w:color w:val="000000"/>
          <w:sz w:val="24"/>
        </w:rPr>
        <w:br/>
        <w:t>ADDITIONAL COVENANTS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Pledges or Transfers</w:t>
      </w:r>
      <w:r>
        <w:rPr>
          <w:rFonts w:ascii="Times New Roman" w:hAnsi="Times New Roman"/>
          <w:color w:val="000000"/>
          <w:sz w:val="24"/>
        </w:rPr>
        <w:t>. Upon the request of any Designating Stockholder that wishes to (x) pledge, hypothecate or grant security interests in any or all of the shares of Common Stock held by it including to banks or financial institutions as collateral or security for loans, advances or extensions of credit or (y) Transfer any or all of the shares of Common Stock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Spin-Offs or Split-Offs</w:t>
      </w:r>
      <w:r>
        <w:rPr>
          <w:rFonts w:ascii="Times New Roman" w:hAnsi="Times New Roman"/>
          <w:color w:val="000000"/>
          <w:sz w:val="24"/>
        </w:rPr>
        <w:t>. In the event that the Company effects the separation of any portion of its business into one or more entities (each, a “</w:t>
      </w:r>
      <w:r>
        <w:rPr>
          <w:rFonts w:ascii="Times New Roman" w:hAnsi="Times New Roman"/>
          <w:color w:val="000000"/>
          <w:sz w:val="24"/>
          <w:u w:val="single"/>
        </w:rPr>
        <w:t>NewCo</w:t>
      </w:r>
      <w:r>
        <w:rPr>
          <w:rFonts w:ascii="Times New Roman" w:hAnsi="Times New Roman"/>
          <w:color w:val="000000"/>
          <w:sz w:val="20"/>
        </w:rPr>
        <w:t>”</w:t>
      </w:r>
      <w:r>
        <w:rPr>
          <w:rFonts w:ascii="Times New Roman" w:hAnsi="Times New Roman"/>
          <w:color w:val="000000"/>
          <w:sz w:val="24"/>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stockholders agreement with the Designating Stockholders that provides the Designating Stockholders with rights vis-à-vis such NewCo that are substantially identical to those set forth in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Expense Reimbursement</w:t>
      </w:r>
      <w:r>
        <w:rPr>
          <w:rFonts w:ascii="Times New Roman" w:hAnsi="Times New Roman"/>
          <w:color w:val="000000"/>
          <w:sz w:val="24"/>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respective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Additional Issuances for Earn-Out</w:t>
      </w:r>
      <w:r>
        <w:rPr>
          <w:rFonts w:ascii="Times New Roman" w:hAnsi="Times New Roman"/>
          <w:color w:val="000000"/>
          <w:sz w:val="24"/>
        </w:rPr>
        <w:t>. In the event the Company makes any payment in respect of its existing earn-out obligations under Section 2.15 of the 2020 Merger Agreement after the Conversion Date, such that had any Series A Convertible Preferred Stock remained outstanding as of the date of such earn-out payment, the Conversion Price (as defined in the Certificate of Designations) with respect to such shares of converted Series A Convertible Preferred Stock would have been adjusted pursuant to Section 6(d)(i) of the Certificate of Designations, then the Company shall issue to the Designating Stockholders that held such shares of Series A Convertible Preferred Stock as of the Conversion Date, a number of shares of Common Stock equal to the incremental number of shares of Common Stock such Designating Stockholders holding Series A Convertible Preferred Stock would have incrementally been entitled to upon conversion of such shares of Series A Convertible Preferred Stock had such earn-out payment been made by the Company prior to the Conversion Date. The Company and the Designating Stockholder hereby agree that (a) the illustrative calculation of the Conversion Price adjustment described herein has been provided to the GA Holders (the “</w:t>
      </w:r>
      <w:r>
        <w:rPr>
          <w:rFonts w:ascii="Times New Roman" w:hAnsi="Times New Roman"/>
          <w:color w:val="000000"/>
          <w:sz w:val="24"/>
          <w:u w:val="single"/>
        </w:rPr>
        <w:t>Illustrative Calculation</w:t>
      </w:r>
      <w:r>
        <w:rPr>
          <w:rFonts w:ascii="Times New Roman" w:hAnsi="Times New Roman"/>
          <w:color w:val="000000"/>
          <w:sz w:val="20"/>
        </w:rPr>
        <w:t>”</w:t>
      </w:r>
      <w:r>
        <w:rPr>
          <w:rFonts w:ascii="Times New Roman" w:hAnsi="Times New Roman"/>
          <w:color w:val="000000"/>
          <w:sz w:val="24"/>
        </w:rPr>
        <w:t>) and (b) in the event that the Company makes any payment in respect of its existing earn-out obligations under Section 2.15 of the 2020 Merger Agreement, the adjustment to the calculation (a “</w:t>
      </w:r>
      <w:r>
        <w:rPr>
          <w:rFonts w:ascii="Times New Roman" w:hAnsi="Times New Roman"/>
          <w:color w:val="000000"/>
          <w:sz w:val="24"/>
          <w:u w:val="single"/>
        </w:rPr>
        <w:t>Post-IPO Issuance Calculation</w:t>
      </w:r>
      <w:r>
        <w:rPr>
          <w:rFonts w:ascii="Times New Roman" w:hAnsi="Times New Roman"/>
          <w:color w:val="000000"/>
          <w:sz w:val="20"/>
        </w:rPr>
        <w:t>”</w:t>
      </w:r>
      <w:r>
        <w:rPr>
          <w:rFonts w:ascii="Times New Roman" w:hAnsi="Times New Roman"/>
          <w:color w:val="000000"/>
          <w:sz w:val="24"/>
        </w:rPr>
        <w:t>) of the number of shares of Common Stock to be issued to the applicable Designating Stockholder will be calculated in accordance with the methodology set forth in the Illustrative Calculation (it being understood for clarity that rows 5-9 shall be calculated (i) in the case of the Designating Stockholders’ fully diluted ownership (row 7), based on the number of shares of Common Stock resulting from the conversion of the Series A Convertible Preferred Stock held by the Designating Stockholders at the time of conversion (row 6) and using the treasury stock method as of the date such earn-out payment is paid to calculate the fully diluted shares outstanding as of the date the earn-out payment is paid (row 5), and (ii) in the case of the Company’s share price (row 9), using a six-month volume-weighted average price ending on the last trading day of the most recent fiscal quarter prior to the payment of such earn-out payment).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V.</w:t>
      </w:r>
      <w:r>
        <w:rPr>
          <w:rFonts w:ascii="Times New Roman" w:hAnsi="Times New Roman"/>
          <w:b w:val="false"/>
          <w:caps/>
          <w:color w:val="000000"/>
          <w:sz w:val="24"/>
        </w:rPr>
        <w:br/>
        <w:t>INDEMNIFICATION; LIABILITY INSURANCE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Indemnification of Designating Stockholder</w:t>
      </w:r>
      <w:r>
        <w:rPr>
          <w:rFonts w:ascii="Times New Roman" w:hAnsi="Times New Roman"/>
          <w:color w:val="000000"/>
          <w:sz w:val="24"/>
        </w:rPr>
        <w:t>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hAnsi="Times New Roman"/>
          <w:color w:val="000000"/>
          <w:sz w:val="24"/>
          <w:u w:val="single"/>
        </w:rPr>
        <w:t>Indemnitees</w:t>
      </w:r>
      <w:r>
        <w:rPr>
          <w:rFonts w:ascii="Times New Roman" w:hAnsi="Times New Roman"/>
          <w:color w:val="000000"/>
          <w:sz w:val="20"/>
        </w:rPr>
        <w:t>”</w:t>
      </w:r>
      <w:r>
        <w:rPr>
          <w:rFonts w:ascii="Times New Roman" w:hAnsi="Times New Roman"/>
          <w:color w:val="000000"/>
          <w:sz w:val="24"/>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hAnsi="Times New Roman"/>
          <w:color w:val="000000"/>
          <w:sz w:val="24"/>
          <w:u w:val="single"/>
        </w:rPr>
        <w:t>Indemnified Liabilities</w:t>
      </w:r>
      <w:r>
        <w:rPr>
          <w:rFonts w:ascii="Times New Roman" w:hAnsi="Times New Roman"/>
          <w:color w:val="000000"/>
          <w:sz w:val="20"/>
        </w:rPr>
        <w:t>”</w:t>
      </w:r>
      <w:r>
        <w:rPr>
          <w:rFonts w:ascii="Times New Roman" w:hAnsi="Times New Roman"/>
          <w:color w:val="000000"/>
          <w:sz w:val="24"/>
        </w:rPr>
        <w:t>), arising out of any action, cause of action, suit, litigation, investigation, inquiry, arbitration or claim by any Person (other than the Company or any of its Subsidiaries) against any Indemnitee (each, an “</w:t>
      </w:r>
      <w:r>
        <w:rPr>
          <w:rFonts w:ascii="Times New Roman" w:hAnsi="Times New Roman"/>
          <w:color w:val="000000"/>
          <w:sz w:val="24"/>
          <w:u w:val="single"/>
        </w:rPr>
        <w:t>Action</w:t>
      </w:r>
      <w:r>
        <w:rPr>
          <w:rFonts w:ascii="Times New Roman" w:hAnsi="Times New Roman"/>
          <w:color w:val="000000"/>
          <w:sz w:val="20"/>
        </w:rPr>
        <w:t>”</w:t>
      </w:r>
      <w:r>
        <w:rPr>
          <w:rFonts w:ascii="Times New Roman" w:hAnsi="Times New Roman"/>
          <w:color w:val="000000"/>
          <w:sz w:val="24"/>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indemnification rights in this </w:t>
      </w:r>
      <w:r>
        <w:rPr>
          <w:rFonts w:ascii="Times New Roman" w:hAnsi="Times New Roman"/>
          <w:color w:val="000000"/>
          <w:sz w:val="24"/>
          <w:u w:val="single"/>
        </w:rPr>
        <w:t>Section 5.1(a)</w:t>
      </w:r>
      <w:r>
        <w:rPr>
          <w:rFonts w:ascii="Times New Roman" w:hAnsi="Times New Roman"/>
          <w:color w:val="000000"/>
          <w:sz w:val="20"/>
        </w:rPr>
        <w:t xml:space="preserve"> </w:t>
      </w:r>
      <w:r>
        <w:rPr>
          <w:rFonts w:ascii="Times New Roman" w:hAnsi="Times New Roman"/>
          <w:color w:val="000000"/>
          <w:sz w:val="24"/>
        </w:rPr>
        <w:t xml:space="preserve">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 xml:space="preserve">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hAnsi="Times New Roman"/>
          <w:color w:val="000000"/>
          <w:sz w:val="24"/>
          <w:u w:val="single"/>
        </w:rPr>
        <w:t>Section 5.1</w:t>
      </w:r>
      <w:r>
        <w:rPr>
          <w:rFonts w:ascii="Times New Roman" w:hAnsi="Times New Roman"/>
          <w:color w:val="000000"/>
          <w:sz w:val="24"/>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hAnsi="Times New Roman"/>
          <w:color w:val="000000"/>
          <w:sz w:val="24"/>
          <w:u w:val="single"/>
        </w:rPr>
        <w:t>Article V</w:t>
      </w:r>
      <w:r>
        <w:rPr>
          <w:rFonts w:ascii="Times New Roman" w:hAnsi="Times New Roman"/>
          <w:color w:val="000000"/>
          <w:sz w:val="24"/>
        </w:rPr>
        <w:t>, or any action or proceeding arising therefrom, whether or not such Indemnitee is a party thereto. The Company or its Subsidiaries, in the defense of any Action for which an Indemnitee would be entitled to indemnification under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terms of this </w:t>
      </w:r>
      <w:r>
        <w:rPr>
          <w:rFonts w:ascii="Times New Roman" w:hAnsi="Times New Roman"/>
          <w:color w:val="000000"/>
          <w:sz w:val="24"/>
          <w:u w:val="single"/>
        </w:rPr>
        <w:t>Article V</w:t>
      </w:r>
      <w:r>
        <w:rPr>
          <w:rFonts w:ascii="Times New Roman" w:hAnsi="Times New Roman"/>
          <w:color w:val="000000"/>
          <w:sz w:val="24"/>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Jointly Indemnifiable Claims</w:t>
      </w:r>
      <w:r>
        <w:rPr>
          <w:rFonts w:ascii="Times New Roman" w:hAnsi="Times New Roman"/>
          <w:color w:val="000000"/>
          <w:sz w:val="24"/>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hAnsi="Times New Roman"/>
          <w:color w:val="000000"/>
          <w:sz w:val="24"/>
          <w:u w:val="single"/>
        </w:rPr>
        <w:t>Indemnification Sources</w:t>
      </w:r>
      <w:r>
        <w:rPr>
          <w:rFonts w:ascii="Times New Roman" w:hAnsi="Times New Roman"/>
          <w:color w:val="000000"/>
          <w:sz w:val="20"/>
        </w:rPr>
        <w:t>”</w:t>
      </w:r>
      <w:r>
        <w:rPr>
          <w:rFonts w:ascii="Times New Roman" w:hAnsi="Times New Roman"/>
          <w:color w:val="000000"/>
          <w:sz w:val="24"/>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hAnsi="Times New Roman"/>
          <w:color w:val="000000"/>
          <w:sz w:val="24"/>
          <w:u w:val="single"/>
        </w:rPr>
        <w:t>Indemnitee-Related Entities</w:t>
      </w:r>
      <w:r>
        <w:rPr>
          <w:rFonts w:ascii="Times New Roman" w:hAnsi="Times New Roman"/>
          <w:color w:val="000000"/>
          <w:sz w:val="20"/>
        </w:rPr>
        <w:t>”</w:t>
      </w:r>
      <w:r>
        <w:rPr>
          <w:rFonts w:ascii="Times New Roman" w:hAnsi="Times New Roman"/>
          <w:color w:val="000000"/>
          <w:sz w:val="24"/>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hAnsi="Times New Roman"/>
          <w:color w:val="000000"/>
          <w:sz w:val="24"/>
          <w:u w:val="single"/>
        </w:rPr>
        <w:t>Section 5.2</w:t>
      </w:r>
      <w:r>
        <w:rPr>
          <w:rFonts w:ascii="Times New Roman" w:hAnsi="Times New Roman"/>
          <w:color w:val="000000"/>
          <w:sz w:val="24"/>
        </w:rPr>
        <w:t xml:space="preserve">, entitled to enforce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as though each such Indemnitee-Related Entity were a party to this Agreement. The Company shall cause each of its Subsidiaries to perform the terms and obligations of this </w:t>
      </w:r>
      <w:r>
        <w:rPr>
          <w:rFonts w:ascii="Times New Roman" w:hAnsi="Times New Roman"/>
          <w:color w:val="000000"/>
          <w:sz w:val="24"/>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5.2</w:t>
      </w:r>
      <w:r>
        <w:rPr>
          <w:rFonts w:ascii="Times New Roman" w:hAnsi="Times New Roman"/>
          <w:color w:val="000000"/>
          <w:sz w:val="20"/>
        </w:rPr>
        <w:t xml:space="preserve"> </w:t>
      </w:r>
      <w:r>
        <w:rPr>
          <w:rFonts w:ascii="Times New Roman" w:hAnsi="Times New Roman"/>
          <w:color w:val="000000"/>
          <w:sz w:val="24"/>
        </w:rPr>
        <w:t xml:space="preserve">as though each such Subsidiary was a party to this Agreement. For purposes of this </w:t>
      </w:r>
      <w:r>
        <w:rPr>
          <w:rFonts w:ascii="Times New Roman" w:hAnsi="Times New Roman"/>
          <w:color w:val="000000"/>
          <w:sz w:val="24"/>
          <w:u w:val="single"/>
        </w:rPr>
        <w:t>Section 5.2</w:t>
      </w:r>
      <w:r>
        <w:rPr>
          <w:rFonts w:ascii="Times New Roman" w:hAnsi="Times New Roman"/>
          <w:color w:val="000000"/>
          <w:sz w:val="24"/>
        </w:rPr>
        <w:t>, the term “</w:t>
      </w:r>
      <w:r>
        <w:rPr>
          <w:rFonts w:ascii="Times New Roman" w:hAnsi="Times New Roman"/>
          <w:color w:val="000000"/>
          <w:sz w:val="24"/>
          <w:u w:val="single"/>
        </w:rPr>
        <w:t>Jointly Indemnifiable Claims</w:t>
      </w:r>
      <w:r>
        <w:rPr>
          <w:rFonts w:ascii="Times New Roman" w:hAnsi="Times New Roman"/>
          <w:color w:val="000000"/>
          <w:sz w:val="20"/>
        </w:rPr>
        <w:t xml:space="preserve">” </w:t>
      </w:r>
      <w:r>
        <w:rPr>
          <w:rFonts w:ascii="Times New Roman" w:hAnsi="Times New Roman"/>
          <w:color w:val="000000"/>
          <w:sz w:val="24"/>
        </w:rPr>
        <w:t>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Non-Exclusive Right</w:t>
      </w:r>
      <w:r>
        <w:rPr>
          <w:rFonts w:ascii="Times New Roman" w:hAnsi="Times New Roman"/>
          <w:color w:val="000000"/>
          <w:sz w:val="24"/>
        </w:rPr>
        <w:t xml:space="preserve">. The rights of any Indemnitee to indemnification in this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Directors and Officers Insurance</w:t>
      </w:r>
      <w:r>
        <w:rPr>
          <w:rFonts w:ascii="Times New Roman" w:hAnsi="Times New Roman"/>
          <w:color w:val="000000"/>
          <w:sz w:val="24"/>
        </w:rPr>
        <w:t>. The Company shall use its reasonable best efforts to purchase and maintain a policy or policies of directors’ and officers’ liability insurance which insurance shall cover each member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Other Rights of Designees</w:t>
      </w:r>
      <w:r>
        <w:rPr>
          <w:rFonts w:ascii="Times New Roman" w:hAnsi="Times New Roman"/>
          <w:color w:val="000000"/>
          <w:sz w:val="24"/>
        </w:rPr>
        <w:t xml:space="preserve">. Except as provided in </w:t>
      </w:r>
      <w:r>
        <w:rPr>
          <w:rFonts w:ascii="Times New Roman" w:hAnsi="Times New Roman"/>
          <w:color w:val="000000"/>
          <w:sz w:val="24"/>
          <w:u w:val="single"/>
        </w:rPr>
        <w:t>Section 2.2</w:t>
      </w:r>
      <w:r>
        <w:rPr>
          <w:rFonts w:ascii="Times New Roman" w:hAnsi="Times New Roman"/>
          <w:color w:val="000000"/>
          <w:sz w:val="24"/>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b w:val="false"/>
          <w:caps/>
          <w:color w:val="010000"/>
          <w:sz w:val="24"/>
        </w:rPr>
        <w:t>ARTICLE VI.</w:t>
      </w:r>
      <w:r>
        <w:rPr>
          <w:rFonts w:ascii="Times New Roman" w:hAnsi="Times New Roman"/>
          <w:b w:val="false"/>
          <w:caps/>
          <w:color w:val="000000"/>
          <w:sz w:val="24"/>
        </w:rPr>
        <w:br/>
        <w:t>GENERAL PROVISIONS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Termination</w:t>
      </w:r>
      <w:r>
        <w:rPr>
          <w:rFonts w:ascii="Times New Roman" w:hAnsi="Times New Roman"/>
          <w:color w:val="000000"/>
          <w:sz w:val="24"/>
        </w:rPr>
        <w:t xml:space="preserve">. Subject to the early termination of any provision as a result of an amendment to this Agreement agreed to by the Board and the Designating Stockholders, as provided under </w:t>
      </w:r>
      <w:r>
        <w:rPr>
          <w:rFonts w:ascii="Times New Roman" w:hAnsi="Times New Roman"/>
          <w:color w:val="000000"/>
          <w:sz w:val="24"/>
          <w:u w:val="single"/>
        </w:rPr>
        <w:t>Section 6.3</w:t>
      </w:r>
      <w:r>
        <w:rPr>
          <w:rFonts w:ascii="Times New Roman" w:hAnsi="Times New Roman"/>
          <w:color w:val="000000"/>
          <w:sz w:val="24"/>
        </w:rPr>
        <w:t xml:space="preserve">, and except for </w:t>
      </w:r>
      <w:r>
        <w:rPr>
          <w:rFonts w:ascii="Times New Roman" w:hAnsi="Times New Roman"/>
          <w:color w:val="000000"/>
          <w:sz w:val="24"/>
          <w:u w:val="single"/>
        </w:rPr>
        <w:t>Section 3.1</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hereof, which shall terminate as provided in those Sections, and the rest of this Agreement, excluding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hereof shall terminate.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Notices</w:t>
      </w:r>
      <w:r>
        <w:rPr>
          <w:rFonts w:ascii="Times New Roman" w:hAnsi="Times New Roman"/>
          <w:color w:val="000000"/>
          <w:sz w:val="24"/>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address is:</w:t>
      </w:r>
    </w:p>
    <w:p>
      <w:pPr>
        <w:pStyle w:val="TextBody"/>
        <w:bidi w:val="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Liftoff Mobile, Inc.</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900 Middlefield Road, 2</w:t>
            </w:r>
            <w:r>
              <w:rPr>
                <w:rFonts w:ascii="Times New Roman" w:hAnsi="Times New Roman"/>
                <w:color w:val="000000"/>
                <w:sz w:val="16"/>
              </w:rPr>
              <w:t>nd</w:t>
            </w:r>
            <w:r>
              <w:rPr>
                <w:rFonts w:ascii="Times New Roman" w:hAnsi="Times New Roman"/>
                <w:color w:val="000000"/>
                <w:sz w:val="24"/>
              </w:rPr>
              <w:t xml:space="preserve"> Floor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Redwood City, CA 94063 </w:t>
            </w:r>
          </w:p>
        </w:tc>
      </w:tr>
    </w:tbl>
    <w:p>
      <w:pPr>
        <w:pStyle w:val="TextBody"/>
        <w:bidi w:val="0"/>
        <w:jc w:val="left"/>
        <w:rPr/>
      </w:pPr>
      <w:r>
        <w:rPr/>
        <w:t> </w:t>
      </w:r>
    </w:p>
    <w:tbl>
      <w:tblPr>
        <w:tblW w:w="2702" w:type="dxa"/>
        <w:jc w:val="left"/>
        <w:tblInd w:w="0" w:type="dxa"/>
        <w:tblLayout w:type="fixed"/>
        <w:tblCellMar>
          <w:top w:w="28" w:type="dxa"/>
          <w:left w:w="28" w:type="dxa"/>
          <w:bottom w:w="28" w:type="dxa"/>
          <w:right w:w="28" w:type="dxa"/>
        </w:tblCellMar>
      </w:tblPr>
      <w:tblGrid>
        <w:gridCol w:w="1126"/>
        <w:gridCol w:w="1576"/>
      </w:tblGrid>
      <w:tr>
        <w:trPr/>
        <w:tc>
          <w:tcPr>
            <w:tcW w:w="11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Designating Stockholder’s address is:</w:t>
      </w:r>
    </w:p>
    <w:p>
      <w:pPr>
        <w:pStyle w:val="TextBody"/>
        <w:bidi w:val="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Atlantic, L.P.</w:t>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55 East 52</w:t>
            </w:r>
            <w:r>
              <w:rPr>
                <w:rFonts w:ascii="Times New Roman" w:hAnsi="Times New Roman"/>
                <w:color w:val="000000"/>
                <w:sz w:val="16"/>
              </w:rPr>
              <w:t>nd</w:t>
            </w:r>
            <w:r>
              <w:rPr>
                <w:rFonts w:ascii="Times New Roman" w:hAnsi="Times New Roman"/>
                <w:color w:val="000000"/>
                <w:sz w:val="24"/>
              </w:rPr>
              <w:t> Street, 32</w:t>
            </w:r>
            <w:r>
              <w:rPr>
                <w:rFonts w:ascii="Times New Roman" w:hAnsi="Times New Roman"/>
                <w:color w:val="000000"/>
                <w:sz w:val="16"/>
              </w:rPr>
              <w:t>nd</w:t>
            </w:r>
            <w:r>
              <w:rPr>
                <w:rFonts w:ascii="Times New Roman" w:hAnsi="Times New Roman"/>
                <w:color w:val="000000"/>
                <w:sz w:val="24"/>
              </w:rPr>
              <w:t> Floor</w:t>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New York, NY 10055 </w:t>
            </w:r>
          </w:p>
        </w:tc>
      </w:tr>
    </w:tbl>
    <w:p>
      <w:pPr>
        <w:pStyle w:val="TextBody"/>
        <w:bidi w:val="0"/>
        <w:jc w:val="left"/>
        <w:rPr/>
      </w:pPr>
      <w:r>
        <w:rPr/>
        <w:t> </w:t>
      </w:r>
    </w:p>
    <w:tbl>
      <w:tblPr>
        <w:tblW w:w="2912" w:type="dxa"/>
        <w:jc w:val="left"/>
        <w:tblInd w:w="0" w:type="dxa"/>
        <w:tblLayout w:type="fixed"/>
        <w:tblCellMar>
          <w:top w:w="28" w:type="dxa"/>
          <w:left w:w="28" w:type="dxa"/>
          <w:bottom w:w="28" w:type="dxa"/>
          <w:right w:w="28" w:type="dxa"/>
        </w:tblCellMar>
      </w:tblPr>
      <w:tblGrid>
        <w:gridCol w:w="1066"/>
        <w:gridCol w:w="1846"/>
      </w:tblGrid>
      <w:tr>
        <w:trPr/>
        <w:tc>
          <w:tcPr>
            <w:tcW w:w="10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Gordon Cruess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Tanzeen Syed</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Frederick Robson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address]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Amendment; Waiver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terms and provisions of this Agreement may be modified or amended only with the written approval of the Company and the Designating Stockholder Representative.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party hereto may unilaterally waive any of its rights hereunder in a signed writing delivered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Further Assurances</w:t>
      </w:r>
      <w:r>
        <w:rPr>
          <w:rFonts w:ascii="Times New Roman" w:hAnsi="Times New Roman"/>
          <w:color w:val="000000"/>
          <w:sz w:val="24"/>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Assignment</w:t>
      </w:r>
      <w:r>
        <w:rPr>
          <w:rFonts w:ascii="Times New Roman" w:hAnsi="Times New Roman"/>
          <w:color w:val="000000"/>
          <w:sz w:val="24"/>
        </w:rPr>
        <w:t xml:space="preserve">. This Agreement may not be assigned without the express prior written consent of the other party hereto, and any attempted assignment, without such consent, will be null and void; </w:t>
      </w:r>
      <w:r>
        <w:rPr>
          <w:rFonts w:ascii="Times New Roman" w:hAnsi="Times New Roman"/>
          <w:i/>
          <w:color w:val="000000"/>
          <w:sz w:val="24"/>
        </w:rPr>
        <w:t>provided</w:t>
      </w:r>
      <w:r>
        <w:rPr>
          <w:rFonts w:ascii="Times New Roman" w:hAnsi="Times New Roman"/>
          <w:color w:val="000000"/>
          <w:sz w:val="24"/>
        </w:rPr>
        <w:t xml:space="preserve">, however, that, without the prior written consent of any other party hereto, a Designating Stockholder may assign or transfer, in its sole discretion, its rights and obligations under this Agreement, in whole or in part, to any Permitted Transferee of Common Stock,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 Notwithstanding the foregoing, the rights contained in </w:t>
      </w:r>
      <w:r>
        <w:rPr>
          <w:rFonts w:ascii="Times New Roman" w:hAnsi="Times New Roman"/>
          <w:color w:val="000000"/>
          <w:sz w:val="24"/>
          <w:u w:val="single"/>
        </w:rPr>
        <w:t>Section 4.</w:t>
      </w:r>
      <w:r>
        <w:rPr>
          <w:rFonts w:ascii="Times New Roman" w:hAnsi="Times New Roman"/>
          <w:color w:val="000000"/>
          <w:sz w:val="24"/>
        </w:rPr>
        <w:t>4 hereof will only transfer to a Permitted Transferee if (x) the Designating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Stockholders Transfer, in one Transfer or a series of Transfers, a number of shares of Common Stock greater than 75% of the shares of Common Stock owned by the Designating Stockholders as of June 30, 2025, to a single institutional investor Permitted Transferee and (y) such institutional investor Permitted Transferee executes and delivers to the Company a joinder to this Agreement as otherwise required by this </w:t>
      </w:r>
      <w:r>
        <w:rPr>
          <w:rFonts w:ascii="Times New Roman" w:hAnsi="Times New Roman"/>
          <w:color w:val="000000"/>
          <w:sz w:val="24"/>
          <w:u w:val="single"/>
        </w:rPr>
        <w:t>Section 6.5</w:t>
      </w:r>
      <w:r>
        <w:rPr>
          <w:rFonts w:ascii="Times New Roman" w:hAnsi="Times New Roman"/>
          <w:color w:val="000000"/>
          <w:sz w:val="24"/>
        </w:rPr>
        <w:t xml:space="preserve">. Any institutional investor Permitted Transferee pursuant to the immediately preceding sentence shall not be permitted to further transfer the rights contained in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hereof. For the avoidance of doubt, such institutional investor Permitted Transferee’s ownership for purposes of the calculations contemplated by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hereof will be based solely on such Permitted Transferee’s ownership of the shares of Common Stock Transferred pursuant to this </w:t>
      </w:r>
      <w:r>
        <w:rPr>
          <w:rFonts w:ascii="Times New Roman" w:hAnsi="Times New Roman"/>
          <w:color w:val="000000"/>
          <w:sz w:val="24"/>
          <w:u w:val="single"/>
        </w:rPr>
        <w:t>Section 6.5</w:t>
      </w:r>
      <w:r>
        <w:rPr>
          <w:rFonts w:ascii="Times New Roman" w:hAnsi="Times New Roman"/>
          <w:color w:val="000000"/>
          <w:sz w:val="24"/>
        </w:rPr>
        <w:t>, and the Designating Stockholders that Transferred such shares of Common Stock shall not retain any of such rights with respect to such shares of Common Stock so Transferred. This Agreement will inure to the benefit of and be binding on the parties hereto and their respective successors and permitted assigns.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6.6 </w:t>
      </w:r>
      <w:r>
        <w:rPr>
          <w:rFonts w:ascii="Times New Roman" w:hAnsi="Times New Roman"/>
          <w:color w:val="000000"/>
          <w:sz w:val="24"/>
          <w:u w:val="single"/>
        </w:rPr>
        <w:t>Third Parties</w:t>
      </w:r>
      <w:r>
        <w:rPr>
          <w:rFonts w:ascii="Times New Roman" w:hAnsi="Times New Roman"/>
          <w:color w:val="000000"/>
          <w:sz w:val="24"/>
        </w:rPr>
        <w:t xml:space="preserve">. Except as provided for in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with respect to any Designating Stockholder,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with respect to any Indemnitee or in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with respect to a Non-Recourse Party, this Agreement does not create any rights, claims or benefits inuring to any person that is not a party hereto nor create or establish any third party beneficiary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6.7 </w:t>
      </w:r>
      <w:r>
        <w:rPr>
          <w:rFonts w:ascii="Times New Roman" w:hAnsi="Times New Roman"/>
          <w:color w:val="000000"/>
          <w:sz w:val="24"/>
          <w:u w:val="single"/>
        </w:rPr>
        <w:t>Governing Law</w:t>
      </w:r>
      <w:r>
        <w:rPr>
          <w:rFonts w:ascii="Times New Roman" w:hAnsi="Times New Roman"/>
          <w:color w:val="000000"/>
          <w:sz w:val="24"/>
        </w:rPr>
        <w:t>. THIS AGREEMENT AND ITS ENFORCEMENT AND ANY CONTROVERSY ARISING OUT OF OR RELATING TO THE MAKING OR PERFORMANCE OF THIS AGREEMENT SHALL BE GOVERNED BY AND CONSTRUED IN ACCORDANCE WITH THE LAWS OF THE STATE OF DELAWARE.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6.8 </w:t>
      </w:r>
      <w:r>
        <w:rPr>
          <w:rFonts w:ascii="Times New Roman" w:hAnsi="Times New Roman"/>
          <w:color w:val="000000"/>
          <w:sz w:val="24"/>
          <w:u w:val="single"/>
        </w:rPr>
        <w:t>Jurisdiction; Waiver of Jury Trial</w:t>
      </w:r>
      <w:r>
        <w:rPr>
          <w:rFonts w:ascii="Times New Roman" w:hAnsi="Times New Roman"/>
          <w:color w:val="000000"/>
          <w:sz w:val="24"/>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hAnsi="Times New Roman"/>
          <w:color w:val="000000"/>
          <w:sz w:val="24"/>
          <w:u w:val="single"/>
        </w:rPr>
        <w:t>Section 6.8</w:t>
      </w:r>
      <w:r>
        <w:rPr>
          <w:rFonts w:ascii="Times New Roman" w:hAnsi="Times New Roman"/>
          <w:color w:val="000000"/>
          <w:sz w:val="24"/>
        </w:rPr>
        <w:t xml:space="preserve">,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w:t>
      </w:r>
      <w:r>
        <w:rPr>
          <w:rFonts w:ascii="Times New Roman" w:hAnsi="Times New Roman"/>
          <w:caps/>
          <w:color w:val="000000"/>
          <w:sz w:val="24"/>
        </w:rPr>
        <w:t>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6.9 </w:t>
      </w:r>
      <w:r>
        <w:rPr>
          <w:rFonts w:ascii="Times New Roman" w:hAnsi="Times New Roman"/>
          <w:color w:val="000000"/>
          <w:sz w:val="24"/>
          <w:u w:val="single"/>
        </w:rPr>
        <w:t>Specific Performance</w:t>
      </w:r>
      <w:r>
        <w:rPr>
          <w:rFonts w:ascii="Times New Roman" w:hAnsi="Times New Roman"/>
          <w:color w:val="000000"/>
          <w:sz w:val="24"/>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6.10 </w:t>
      </w:r>
      <w:r>
        <w:rPr>
          <w:rFonts w:ascii="Times New Roman" w:hAnsi="Times New Roman"/>
          <w:color w:val="000000"/>
          <w:sz w:val="24"/>
          <w:u w:val="single"/>
        </w:rPr>
        <w:t>Entire Agreement</w:t>
      </w:r>
      <w:r>
        <w:rPr>
          <w:rFonts w:ascii="Times New Roman" w:hAnsi="Times New Roman"/>
          <w:color w:val="000000"/>
          <w:sz w:val="24"/>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6.11 </w:t>
      </w:r>
      <w:r>
        <w:rPr>
          <w:rFonts w:ascii="Times New Roman" w:hAnsi="Times New Roman"/>
          <w:color w:val="000000"/>
          <w:sz w:val="24"/>
          <w:u w:val="single"/>
        </w:rPr>
        <w:t>Severability</w:t>
      </w:r>
      <w:r>
        <w:rPr>
          <w:rFonts w:ascii="Times New Roman" w:hAnsi="Times New Roman"/>
          <w:color w:val="000000"/>
          <w:sz w:val="24"/>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6.12 </w:t>
      </w:r>
      <w:r>
        <w:rPr>
          <w:rFonts w:ascii="Times New Roman" w:hAnsi="Times New Roman"/>
          <w:color w:val="000000"/>
          <w:sz w:val="24"/>
          <w:u w:val="single"/>
        </w:rPr>
        <w:t>Table of Contents, Headings and Captions</w:t>
      </w:r>
      <w:r>
        <w:rPr>
          <w:rFonts w:ascii="Times New Roman" w:hAnsi="Times New Roman"/>
          <w:color w:val="000000"/>
          <w:sz w:val="24"/>
        </w:rPr>
        <w:t>. The table of contents, headings, subheadings and captions contained in this Agreement are included for convenience of reference only, and in no way define, limit or describe the scope of this Agreement or the intent of any provision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6.13 </w:t>
      </w:r>
      <w:r>
        <w:rPr>
          <w:rFonts w:ascii="Times New Roman" w:hAnsi="Times New Roman"/>
          <w:color w:val="000000"/>
          <w:sz w:val="24"/>
          <w:u w:val="single"/>
        </w:rPr>
        <w:t>Grant of Consent</w:t>
      </w:r>
      <w:r>
        <w:rPr>
          <w:rFonts w:ascii="Times New Roman" w:hAnsi="Times New Roman"/>
          <w:color w:val="000000"/>
          <w:sz w:val="24"/>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hereof by the Designating Stockholder Representative as of the latest date any such notice is so provided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6.14 </w:t>
      </w:r>
      <w:r>
        <w:rPr>
          <w:rFonts w:ascii="Times New Roman" w:hAnsi="Times New Roman"/>
          <w:color w:val="000000"/>
          <w:sz w:val="24"/>
          <w:u w:val="single"/>
        </w:rPr>
        <w:t>Counterparts</w:t>
      </w:r>
      <w:r>
        <w:rPr>
          <w:rFonts w:ascii="Times New Roman" w:hAnsi="Times New Roman"/>
          <w:color w:val="000000"/>
          <w:sz w:val="24"/>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6.15 </w:t>
      </w:r>
      <w:r>
        <w:rPr>
          <w:rFonts w:ascii="Times New Roman" w:hAnsi="Times New Roman"/>
          <w:color w:val="000000"/>
          <w:sz w:val="24"/>
          <w:u w:val="single"/>
        </w:rPr>
        <w:t>Effectiveness</w:t>
      </w:r>
      <w:r>
        <w:rPr>
          <w:rFonts w:ascii="Times New Roman" w:hAnsi="Times New Roman"/>
          <w:color w:val="000000"/>
          <w:sz w:val="24"/>
        </w:rPr>
        <w:t>. This Agreement shall become effective on the date hereof, among the Company and the other parties thereto.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6.16 </w:t>
      </w:r>
      <w:r>
        <w:rPr>
          <w:rFonts w:ascii="Times New Roman" w:hAnsi="Times New Roman"/>
          <w:color w:val="000000"/>
          <w:sz w:val="24"/>
          <w:u w:val="single"/>
        </w:rPr>
        <w:t>No Recourse</w:t>
      </w:r>
      <w:r>
        <w:rPr>
          <w:rFonts w:ascii="Times New Roman" w:hAnsi="Times New Roman"/>
          <w:color w:val="000000"/>
          <w:sz w:val="24"/>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hAnsi="Times New Roman"/>
          <w:color w:val="000000"/>
          <w:sz w:val="24"/>
          <w:u w:val="single"/>
        </w:rPr>
        <w:t>Non-Recourse Party</w:t>
      </w:r>
      <w:r>
        <w:rPr>
          <w:rFonts w:ascii="Times New Roman" w:hAnsi="Times New Roman"/>
          <w:color w:val="000000"/>
          <w:sz w:val="20"/>
        </w:rPr>
        <w:t>”</w:t>
      </w:r>
      <w:r>
        <w:rPr>
          <w:rFonts w:ascii="Times New Roman" w:hAnsi="Times New Roman"/>
          <w:color w:val="000000"/>
          <w:sz w:val="24"/>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Non-Recourse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hAnsi="Times New Roman"/>
          <w:color w:val="000000"/>
          <w:sz w:val="24"/>
          <w:u w:val="single"/>
        </w:rPr>
        <w:t>Section 6.16</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6.16</w:t>
      </w:r>
      <w:r>
        <w:rPr>
          <w:rFonts w:ascii="Times New Roman" w:hAnsi="Times New Roman"/>
          <w:color w:val="000000"/>
          <w:sz w:val="20"/>
        </w:rPr>
        <w:t xml:space="preserve"> </w:t>
      </w:r>
      <w:r>
        <w:rPr>
          <w:rFonts w:ascii="Times New Roman" w:hAnsi="Times New Roman"/>
          <w:color w:val="000000"/>
          <w:sz w:val="24"/>
        </w:rPr>
        <w:t>shall limit any Person’s liability to the extent such Person has committed fraud.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IN WITNESS WHEREOF, the parties hereto have executed this Agreement on the day and year first above written.</w:t>
      </w:r>
      <w:r>
        <w:rPr>
          <w:rFonts w:ascii="Times New Roman" w:hAnsi="Times New Roman"/>
          <w:color w:val="000000"/>
          <w:sz w:val="20"/>
        </w:rPr>
        <w:t xml:space="preserve"> </w:t>
      </w:r>
    </w:p>
    <w:p>
      <w:pPr>
        <w:pStyle w:val="TextBody"/>
        <w:bidi w:val="0"/>
        <w:jc w:val="left"/>
        <w:rPr/>
      </w:pPr>
      <w:r>
        <w:rPr/>
        <w:t> </w:t>
      </w:r>
    </w:p>
    <w:tbl>
      <w:tblPr>
        <w:tblW w:w="2895" w:type="dxa"/>
        <w:jc w:val="left"/>
        <w:tblInd w:w="0" w:type="dxa"/>
        <w:tblLayout w:type="fixed"/>
        <w:tblCellMar>
          <w:top w:w="28" w:type="dxa"/>
          <w:left w:w="28" w:type="dxa"/>
          <w:bottom w:w="28" w:type="dxa"/>
          <w:right w:w="28" w:type="dxa"/>
        </w:tblCellMar>
      </w:tblPr>
      <w:tblGrid>
        <w:gridCol w:w="852"/>
        <w:gridCol w:w="2043"/>
      </w:tblGrid>
      <w:tr>
        <w:trPr/>
        <w:tc>
          <w:tcPr>
            <w:tcW w:w="852"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895"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LIFTOFF MOBILE, INC.</w:t>
            </w:r>
          </w:p>
          <w:p>
            <w:pPr>
              <w:pStyle w:val="TableContents"/>
              <w:bidi w:val="0"/>
              <w:jc w:val="left"/>
              <w:rPr/>
            </w:pPr>
            <w:r>
              <w:rPr/>
              <w:t> </w:t>
            </w:r>
          </w:p>
          <w:p>
            <w:pPr>
              <w:pStyle w:val="TableContents"/>
              <w:bidi w:val="0"/>
              <w:spacing w:before="0" w:after="283"/>
              <w:jc w:val="left"/>
              <w:rPr/>
            </w:pPr>
            <w:r>
              <w:rPr/>
              <w:t> </w:t>
            </w:r>
          </w:p>
        </w:tc>
      </w:tr>
      <w:tr>
        <w:trPr/>
        <w:tc>
          <w:tcPr>
            <w:tcW w:w="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Susan Hansen</w:t>
            </w:r>
          </w:p>
        </w:tc>
      </w:tr>
      <w:tr>
        <w:trPr/>
        <w:tc>
          <w:tcPr>
            <w:tcW w:w="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0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Hansen</w:t>
            </w:r>
          </w:p>
        </w:tc>
      </w:tr>
      <w:tr>
        <w:trPr/>
        <w:tc>
          <w:tcPr>
            <w:tcW w:w="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0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General Counsel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550" w:type="dxa"/>
        <w:jc w:val="left"/>
        <w:tblInd w:w="0" w:type="dxa"/>
        <w:tblLayout w:type="fixed"/>
        <w:tblCellMar>
          <w:top w:w="28" w:type="dxa"/>
          <w:left w:w="28" w:type="dxa"/>
          <w:bottom w:w="28" w:type="dxa"/>
          <w:right w:w="28" w:type="dxa"/>
        </w:tblCellMar>
      </w:tblPr>
      <w:tblGrid>
        <w:gridCol w:w="1431"/>
        <w:gridCol w:w="4119"/>
      </w:tblGrid>
      <w:tr>
        <w:trPr/>
        <w:tc>
          <w:tcPr>
            <w:tcW w:w="1431" w:type="dxa"/>
            <w:tcBorders/>
            <w:vAlign w:val="center"/>
          </w:tcPr>
          <w:p>
            <w:pPr>
              <w:pStyle w:val="TableContents"/>
              <w:bidi w:val="0"/>
              <w:spacing w:before="0" w:after="283"/>
              <w:jc w:val="left"/>
              <w:rPr>
                <w:sz w:val="4"/>
                <w:szCs w:val="4"/>
              </w:rPr>
            </w:pPr>
            <w:r>
              <w:rPr>
                <w:sz w:val="4"/>
                <w:szCs w:val="4"/>
              </w:rPr>
            </w:r>
          </w:p>
        </w:tc>
        <w:tc>
          <w:tcPr>
            <w:tcW w:w="4119" w:type="dxa"/>
            <w:tcBorders/>
            <w:vAlign w:val="center"/>
          </w:tcPr>
          <w:p>
            <w:pPr>
              <w:pStyle w:val="TableContents"/>
              <w:bidi w:val="0"/>
              <w:spacing w:before="0" w:after="283"/>
              <w:jc w:val="left"/>
              <w:rPr>
                <w:sz w:val="4"/>
                <w:szCs w:val="4"/>
              </w:rPr>
            </w:pPr>
            <w:r>
              <w:rPr>
                <w:sz w:val="4"/>
                <w:szCs w:val="4"/>
              </w:rPr>
            </w:r>
          </w:p>
        </w:tc>
      </w:tr>
      <w:tr>
        <w:trPr/>
        <w:tc>
          <w:tcPr>
            <w:tcW w:w="5550"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DESIGNATING STOCKHOLDERS</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GENERAL ATLANTIC (LFT), L.P.</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General Atlantic (SPV) GP, LLC, its general partner</w:t>
            </w:r>
          </w:p>
        </w:tc>
      </w:tr>
      <w:tr>
        <w:trPr/>
        <w:tc>
          <w:tcPr>
            <w:tcW w:w="55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 Gordon Cruess</w:t>
            </w:r>
          </w:p>
        </w:tc>
      </w:tr>
      <w:tr>
        <w:trPr/>
        <w:tc>
          <w:tcPr>
            <w:tcW w:w="1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 Gordon Cruess</w:t>
            </w:r>
          </w:p>
        </w:tc>
      </w:tr>
      <w:tr>
        <w:trPr/>
        <w:tc>
          <w:tcPr>
            <w:tcW w:w="1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4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Director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Liftoff Mobile, Inc. Stockholders Agreement (GA)</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351/000119312526255630/iron-ex4_3.htm" TargetMode="External"/><Relationship Id="rId3" Type="http://schemas.openxmlformats.org/officeDocument/2006/relationships/hyperlink" Target="https://www.sec.gov/Archives/edgar/data/1850351/000119312526255630/iron-ex4_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74863</Words>
  <Characters>401722</Characters>
  <CharactersWithSpaces>475389</CharactersWithSpaces>
  <Paragraphs>2445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