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67933.xml.htm"/>
      <w:bookmarkStart w:id="1" w:name="kswkform4_17860679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Habiger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XPERI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2190 GOLD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9,212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33,587</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9,212 unvested restricted stock units which will vest will vest on the earlier of the one-year anniversary of the grant date and the date of the first annual meeting of stockholders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(a) 24,375 unvested restricted stock units which will vest in three equal annual installments beginning on December 1, 2026 and (b) 9,212 unvested restricted stock units which will vest on the earlier of the one-year anniversary of the grant date and the date of the first annual meeting of stockholders following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Katy Murray,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6409" TargetMode="External"/><Relationship Id="rId5" Type="http://schemas.openxmlformats.org/officeDocument/2006/relationships/hyperlink" Target="http://www.sec.gov/cgi-bin/browse-edgar?action=getcompany&amp;CIK=0001850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3540</Characters>
  <CharactersWithSpaces>4130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