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General Atlantic (LFT),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365" w:lineRule="auto"/>
        <w:rPr>
          <w:sz w:val="20"/>
          <w:szCs w:val="20"/>
          <w:color w:val="auto"/>
        </w:rPr>
      </w:pPr>
      <w:r>
        <w:rPr>
          <w:rFonts w:ascii="Times New Roman" w:cs="Times New Roman" w:eastAsia="Times New Roman" w:hAnsi="Times New Roman"/>
          <w:sz w:val="17"/>
          <w:szCs w:val="17"/>
          <w:color w:val="0000FF"/>
        </w:rPr>
        <w:t>C/O GENERAL ATLANTIC SERVICE CO., L.P. 55 EAST 52ND STREET, 33RD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10055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Liftoff Mobile,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LFTO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540" w:type="dxa"/>
            <w:vAlign w:val="bottom"/>
            <w:tcBorders>
              <w:bottom w:val="single" w:sz="8" w:color="2C2C2C"/>
            </w:tcBorders>
          </w:tcPr>
          <w:p>
            <w:pPr>
              <w:spacing w:after="0"/>
              <w:rPr>
                <w:sz w:val="13"/>
                <w:szCs w:val="13"/>
                <w:color w:val="auto"/>
              </w:rPr>
            </w:pPr>
          </w:p>
        </w:tc>
        <w:tc>
          <w:tcPr>
            <w:tcW w:w="20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07"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06/05/2026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1,304,347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ind w:left="80"/>
              <w:spacing w:after="0"/>
              <w:rPr>
                <w:sz w:val="20"/>
                <w:szCs w:val="20"/>
                <w:color w:val="auto"/>
              </w:rPr>
            </w:pPr>
            <w:r>
              <w:rPr>
                <w:rFonts w:ascii="Arial" w:cs="Arial" w:eastAsia="Arial" w:hAnsi="Arial"/>
                <w:sz w:val="34"/>
                <w:szCs w:val="34"/>
                <w:color w:val="000000"/>
                <w:w w:val="99"/>
                <w:vertAlign w:val="subscript"/>
              </w:rPr>
              <w:t>$</w:t>
            </w:r>
            <w:r>
              <w:rPr>
                <w:rFonts w:ascii="Times New Roman" w:cs="Times New Roman" w:eastAsia="Times New Roman" w:hAnsi="Times New Roman"/>
                <w:sz w:val="34"/>
                <w:szCs w:val="34"/>
                <w:color w:val="0000FF"/>
                <w:w w:val="99"/>
                <w:vertAlign w:val="subscript"/>
              </w:rPr>
              <w:t>23</w:t>
            </w:r>
            <w:r>
              <w:rPr>
                <w:rFonts w:ascii="Times New Roman" w:cs="Times New Roman" w:eastAsia="Times New Roman" w:hAnsi="Times New Roman"/>
                <w:sz w:val="11"/>
                <w:szCs w:val="11"/>
                <w:color w:val="008000"/>
                <w:w w:val="99"/>
              </w:rPr>
              <w:t>(1)</w:t>
            </w:r>
          </w:p>
        </w:tc>
        <w:tc>
          <w:tcPr>
            <w:tcW w:w="15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7"/>
                <w:szCs w:val="17"/>
                <w:color w:val="0000FF"/>
              </w:rPr>
              <w:t>25,315,646</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4"/>
            <w:vMerge w:val="restart"/>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5"/>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General Atlantic (LFT), L.P.</w:t>
              </w:r>
            </w:hyperlink>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GENERAL ATLANTIC SERVICE CO., L.P.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55 EAST 52ND STREET, 33RD FLOOR</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6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10055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GENERAL ATLANTIC GENPAR</w:t>
        </w:r>
      </w:hyperlink>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(BERMUDA), L.P.</w:t>
        </w:r>
      </w:hyperlink>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CONYERS CLIENT SERVICES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CLARENDON HOUSE, 2 CHURCH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7"/>
        </w:trPr>
        <w:tc>
          <w:tcPr>
            <w:tcW w:w="12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HAMILTON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D0</w:t>
            </w:r>
          </w:p>
        </w:tc>
        <w:tc>
          <w:tcPr>
            <w:tcW w:w="108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8"/>
              </w:rPr>
              <w:t>HM 11</w:t>
            </w:r>
          </w:p>
        </w:tc>
      </w:tr>
    </w:tbl>
    <w:p>
      <w:pPr>
        <w:spacing w:after="0" w:line="200" w:lineRule="exact"/>
        <w:rPr>
          <w:sz w:val="24"/>
          <w:szCs w:val="24"/>
          <w:color w:val="auto"/>
        </w:rPr>
      </w:pPr>
    </w:p>
    <w:p>
      <w:pPr>
        <w:sectPr>
          <w:pgSz w:w="11900" w:h="16907" w:orient="portrait"/>
          <w:cols w:equalWidth="0" w:num="1">
            <w:col w:w="11080"/>
          </w:cols>
          <w:pgMar w:left="460" w:top="219" w:right="359" w:bottom="0" w:gutter="0" w:footer="0" w:header="0"/>
          <w:type w:val="continuous"/>
        </w:sectPr>
      </w:pPr>
    </w:p>
    <w:p>
      <w:pPr>
        <w:spacing w:after="0" w:line="1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907"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GAP (Bermuda)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CONYERS CLIENT SERVICES LIMITED,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CLARENDON HOUSE, 2 CHURCH STREET</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HAMILTON</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D0</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HM 11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General Atlantic Partners 100,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GENERAL ATLANTIC SERVICE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55 EAST 52ND STREET, 33RD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10055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General Atlantic Partners (Lux), SCSp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14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PRINSENGRACHT 769 A</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AMSTERDAM</w:t>
            </w: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P7</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1017 JZ</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14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GAP COINVESTMENTS III,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GENERAL ATLANTIC SERVICE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55 EAST 52ND STREET, 33RD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10055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GAP COINVESTMENTS IV,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GENERAL ATLANTIC SERVICE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55 EAST 52ND STREET, 33RD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GAP Coinvestments V,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GENERAL ATLANTIC SERVICE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55 EAST 52ND STREET, 33RD FLOOR</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83"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10055</w:t>
      </w:r>
    </w:p>
    <w:p>
      <w:pPr>
        <w:sectPr>
          <w:pgSz w:w="11900" w:h="16838" w:orient="portrait"/>
          <w:cols w:equalWidth="0" w:num="1">
            <w:col w:w="9979"/>
          </w:cols>
          <w:pgMar w:left="480" w:top="28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GAP Coinvestments CDA,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-804545</wp:posOffset>
            </wp:positionV>
            <wp:extent cx="2809240" cy="3752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CONYERS CLIENT SERVICES LIMITED,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CLARENDON HOUSE, 2 CHURCH STREET</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HAMILTON</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D0</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HM 11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General Atlantic (SPV)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GENERAL ATLANTIC SERVICE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55 EAST 52ND STREET, 33RD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10055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were purchased by General Atlantic (LFT), L.P. ("GA LFT") in the Issuer's initial public offering, which closed on June 5, 2026, at a price of $23.00.</w:t>
      </w:r>
    </w:p>
    <w:p>
      <w:pPr>
        <w:spacing w:after="0" w:line="5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following investment funds share beneficial ownership of the common shares held of record by GA LFT (collectively, the "GA Funds"): General Atlantic Partners 100, L.P. ("GAP 100"), General Atlantic Partners (Lux) SCSp ("GAP Lux"), GAP Coinvestments III, LLC ("GAPCO III"), GAP Coinvestments IV, LLC ("GAPCO IV"), GAP Coinvestments V, LLC ("GAPCO V") and GAP Coinvestments CDA, L.P. ("GAPCO CDA"). (Cont'd in FN3)</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FN2) General Atlantic (SPV) GP, LLC ("GA SPV") is the general partner of GA LFT. General Atlantic, L.P. ("GA LP") is the sole member of GA SPV. The general partner of GAP Lux is General Atlantic GenPar (Lux) SCSp ("GA GenPar Lux"), and the general partner of GA GenPar Lux is General Atlantic (Lux) S.a. r.l. ("GA Lux"). The sole shareholder of GA Lux is General Atlantic GenPar (Bermuda), L.P. ("GenPar Bermuda"). (Cont'd in FN4)</w:t>
      </w:r>
    </w:p>
    <w:p>
      <w:pPr>
        <w:spacing w:after="0" w:line="20" w:lineRule="exact"/>
        <w:rPr>
          <w:rFonts w:ascii="Times New Roman" w:cs="Times New Roman" w:eastAsia="Times New Roman" w:hAnsi="Times New Roman"/>
          <w:sz w:val="13"/>
          <w:szCs w:val="13"/>
          <w:color w:val="008000"/>
        </w:rPr>
      </w:pPr>
    </w:p>
    <w:p>
      <w:pPr>
        <w:jc w:val="both"/>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F3) GA LP, which is controlled by the Partnership Committee of GASC MGP, LLC (the "GA Partnership Committee"), is the managing member of GAPCO III, GAPCO IV, and GAPCO V and the general partner of GAPCO CDA. GAP (Bermuda) LP ("GAP Bermuda"), which is also controlled by the Partnership Committee, is the general partner of GenPar Bermuda. The general partner of GAP 100 is General Atlantic GenPar, L.P. ("GA GenPar"), and the general partner of GA GenPar is GA LP. There are six members of the GA Partnership Committee. Each of the members of the GA Partnership Committee disclaims ownership of the shares except to the extent that he has a pecuniary interest therein.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right="240"/>
        <w:spacing w:after="0" w:line="247" w:lineRule="auto"/>
        <w:rPr>
          <w:sz w:val="20"/>
          <w:szCs w:val="20"/>
          <w:color w:val="auto"/>
        </w:rPr>
      </w:pPr>
      <w:r>
        <w:rPr>
          <w:rFonts w:ascii="Times New Roman" w:cs="Times New Roman" w:eastAsia="Times New Roman" w:hAnsi="Times New Roman"/>
          <w:sz w:val="13"/>
          <w:szCs w:val="13"/>
          <w:color w:val="008000"/>
        </w:rPr>
        <w:t>GA LP, GA SPV, GA GenPar, GA GenPar Lux, GA Lux, GenPar Bermuda, GAP Bermuda, GA LFT and the GA Funds may be deemed to be members of a "group" for the purposes of the Securities Exchange Act of 1934, as amended (the "Exchange Act"). Each reporting person disclaims beneficial ownership of any securities deemed to be owned by the group that are not directly owned by the reporting person. This report shall not be deemed an admission that the reporting persons are a member of a group or the beneficial owner of any securities not directly owned by the reporting person. Each of the reporting persons is a director-by-deputization solely for purposes of Section 16 of the Exchange Act. // Form 1 of 2</w:t>
      </w:r>
    </w:p>
    <w:p>
      <w:pPr>
        <w:sectPr>
          <w:pgSz w:w="11900" w:h="16838" w:orient="portrait"/>
          <w:cols w:equalWidth="0" w:num="1">
            <w:col w:w="10860"/>
          </w:cols>
          <w:pgMar w:left="480" w:top="125" w:right="55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Ingrid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2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00" w:space="260"/>
            <w:col w:w="2100"/>
          </w:cols>
          <w:pgMar w:left="480" w:top="125"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13" Type="http://schemas.openxmlformats.org/officeDocument/2006/relationships/hyperlink" Target="http://www.sec.gov/cgi-bin/browse-edgar?action=getcompany&amp;CIK=0002106663" TargetMode="External"/><Relationship Id="rId14" Type="http://schemas.openxmlformats.org/officeDocument/2006/relationships/hyperlink" Target="http://www.sec.gov/cgi-bin/browse-edgar?action=getcompany&amp;CIK=0001850351" TargetMode="External"/><Relationship Id="rId16" Type="http://schemas.openxmlformats.org/officeDocument/2006/relationships/hyperlink" Target="http://www.sec.gov/cgi-bin/browse-edgar?action=getcompany&amp;CIK=0001467927" TargetMode="External"/><Relationship Id="rId18" Type="http://schemas.openxmlformats.org/officeDocument/2006/relationships/hyperlink" Target="http://www.sec.gov/cgi-bin/browse-edgar?action=getcompany&amp;CIK=0001406817" TargetMode="External"/><Relationship Id="rId19" Type="http://schemas.openxmlformats.org/officeDocument/2006/relationships/hyperlink" Target="http://www.sec.gov/cgi-bin/browse-edgar?action=getcompany&amp;CIK=0001704892" TargetMode="External"/><Relationship Id="rId20" Type="http://schemas.openxmlformats.org/officeDocument/2006/relationships/hyperlink" Target="http://www.sec.gov/cgi-bin/browse-edgar?action=getcompany&amp;CIK=0001795410" TargetMode="External"/><Relationship Id="rId21" Type="http://schemas.openxmlformats.org/officeDocument/2006/relationships/hyperlink" Target="http://www.sec.gov/cgi-bin/browse-edgar?action=getcompany&amp;CIK=0001282203" TargetMode="External"/><Relationship Id="rId22" Type="http://schemas.openxmlformats.org/officeDocument/2006/relationships/hyperlink" Target="http://www.sec.gov/cgi-bin/browse-edgar?action=getcompany&amp;CIK=0001282372" TargetMode="External"/><Relationship Id="rId23" Type="http://schemas.openxmlformats.org/officeDocument/2006/relationships/hyperlink" Target="http://www.sec.gov/cgi-bin/browse-edgar?action=getcompany&amp;CIK=0001793941" TargetMode="External"/><Relationship Id="rId24" Type="http://schemas.openxmlformats.org/officeDocument/2006/relationships/hyperlink" Target="http://www.sec.gov/cgi-bin/browse-edgar?action=getcompany&amp;CIK=0001356474" TargetMode="External"/><Relationship Id="rId26" Type="http://schemas.openxmlformats.org/officeDocument/2006/relationships/hyperlink" Target="http://www.sec.gov/cgi-bin/browse-edgar?action=getcompany&amp;CIK=0001793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2026-06-09T19:45:05Z</dcterms:created>
  <dcterms:modified xsi:type="dcterms:W3CDTF">2026-06-09T19:45:05Z</dcterms:modified>
</cp:coreProperties>
</file>