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171717"/>
          <w:sz w:val="20"/>
        </w:rPr>
      </w:pPr>
      <w:r>
        <w:rPr>
          <w:rFonts w:ascii="Arial;sans-serif" w:hAnsi="Arial;sans-serif"/>
          <w:b w:val="false"/>
          <w:color w:val="171717"/>
          <w:sz w:val="20"/>
        </w:rPr>
        <w:t>UNITED STATES</w:t>
      </w:r>
    </w:p>
    <w:p>
      <w:pPr>
        <w:pStyle w:val="TextBody"/>
        <w:bidi w:val="0"/>
        <w:spacing w:lineRule="auto" w:line="268" w:before="0" w:after="0"/>
        <w:jc w:val="center"/>
        <w:rPr/>
      </w:pPr>
      <w:r>
        <w:rPr>
          <w:rFonts w:ascii="Arial;sans-serif" w:hAnsi="Arial;sans-serif"/>
          <w:b/>
          <w:color w:val="171717"/>
          <w:sz w:val="36"/>
        </w:rPr>
        <w:t>SECURITIES</w:t>
      </w:r>
      <w:r>
        <w:rPr>
          <w:color w:val="171717"/>
        </w:rPr>
        <w:t xml:space="preserve"> </w:t>
      </w:r>
      <w:r>
        <w:rPr>
          <w:rFonts w:ascii="Arial;sans-serif" w:hAnsi="Arial;sans-serif"/>
          <w:b/>
          <w:color w:val="171717"/>
          <w:sz w:val="36"/>
        </w:rPr>
        <w:t>AND</w:t>
      </w:r>
      <w:r>
        <w:rPr>
          <w:color w:val="171717"/>
        </w:rPr>
        <w:t xml:space="preserve"> </w:t>
      </w:r>
      <w:r>
        <w:rPr>
          <w:rFonts w:ascii="Arial;sans-serif" w:hAnsi="Arial;sans-serif"/>
          <w:b/>
          <w:color w:val="171717"/>
          <w:sz w:val="36"/>
        </w:rPr>
        <w:t>EXCHANGE</w:t>
      </w:r>
      <w:r>
        <w:rPr>
          <w:color w:val="171717"/>
        </w:rPr>
        <w:t xml:space="preserve"> </w:t>
      </w:r>
      <w:r>
        <w:rPr>
          <w:rFonts w:ascii="Arial;sans-serif" w:hAnsi="Arial;sans-serif"/>
          <w:b/>
          <w:color w:val="171717"/>
          <w:sz w:val="36"/>
        </w:rPr>
        <w:t>COMMISSION</w:t>
      </w:r>
    </w:p>
    <w:p>
      <w:pPr>
        <w:pStyle w:val="TextBody"/>
        <w:bidi w:val="0"/>
        <w:spacing w:lineRule="auto" w:line="268" w:before="0" w:after="0"/>
        <w:ind w:left="0" w:right="0" w:firstLine="565"/>
        <w:jc w:val="center"/>
        <w:rPr>
          <w:rFonts w:ascii="Arial;sans-serif" w:hAnsi="Arial;sans-serif"/>
          <w:b w:val="false"/>
          <w:color w:val="171717"/>
          <w:sz w:val="16"/>
        </w:rPr>
      </w:pPr>
      <w:r>
        <w:rPr>
          <w:rFonts w:ascii="Arial;sans-serif" w:hAnsi="Arial;sans-serif"/>
          <w:b w:val="false"/>
          <w:color w:val="171717"/>
          <w:sz w:val="16"/>
        </w:rPr>
        <w:t>Washington, D.C. 20549</w:t>
      </w:r>
    </w:p>
    <w:p>
      <w:pPr>
        <w:pStyle w:val="TextBody"/>
        <w:bidi w:val="0"/>
        <w:spacing w:before="0" w:after="0"/>
        <w:ind w:left="0" w:right="0" w:firstLine="565"/>
        <w:jc w:val="center"/>
        <w:rPr/>
      </w:pPr>
      <w:r>
        <w:rPr/>
        <w:drawing>
          <wp:inline distT="0" distB="0" distL="0" distR="0">
            <wp:extent cx="347662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19050"/>
                    </a:xfrm>
                    <a:prstGeom prst="rect">
                      <a:avLst/>
                    </a:prstGeom>
                  </pic:spPr>
                </pic:pic>
              </a:graphicData>
            </a:graphic>
          </wp:inline>
        </w:drawing>
      </w:r>
      <w:bookmarkStart w:id="0" w:name="i-1"/>
      <w:bookmarkEnd w:id="0"/>
    </w:p>
    <w:p>
      <w:pPr>
        <w:pStyle w:val="TextBody"/>
        <w:bidi w:val="0"/>
        <w:spacing w:lineRule="auto" w:line="268" w:before="0" w:after="0"/>
        <w:jc w:val="center"/>
        <w:rPr>
          <w:rFonts w:ascii="Arial;sans-serif" w:hAnsi="Arial;sans-serif"/>
          <w:b/>
          <w:color w:val="171717"/>
          <w:sz w:val="36"/>
        </w:rPr>
      </w:pPr>
      <w:r>
        <w:rPr>
          <w:rFonts w:ascii="Arial;sans-serif" w:hAnsi="Arial;sans-serif"/>
          <w:b/>
          <w:color w:val="171717"/>
          <w:sz w:val="36"/>
        </w:rPr>
        <w:t>FORM 10-Q</w:t>
      </w:r>
    </w:p>
    <w:p>
      <w:pPr>
        <w:pStyle w:val="TextBody"/>
        <w:bidi w:val="0"/>
        <w:spacing w:before="0" w:after="0"/>
        <w:ind w:left="0" w:right="0" w:firstLine="568"/>
        <w:jc w:val="center"/>
        <w:rPr/>
      </w:pPr>
      <w:r>
        <w:rPr/>
        <w:drawing>
          <wp:inline distT="0" distB="0" distL="0" distR="0">
            <wp:extent cx="3476625"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76625" cy="19050"/>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171717"/>
          <w:sz w:val="16"/>
        </w:rPr>
      </w:pPr>
      <w:r>
        <w:rPr>
          <w:rFonts w:ascii="Arial;sans-serif" w:hAnsi="Arial;sans-serif"/>
          <w:b/>
          <w:color w:val="171717"/>
          <w:sz w:val="16"/>
        </w:rPr>
        <w:t>(Mark One)</w:t>
      </w:r>
    </w:p>
    <w:p>
      <w:pPr>
        <w:pStyle w:val="TextBody"/>
        <w:bidi w:val="0"/>
        <w:spacing w:lineRule="auto" w:line="268" w:before="0" w:after="0"/>
        <w:jc w:val="center"/>
        <w:rPr/>
      </w:pPr>
      <w:r>
        <w:rPr>
          <w:color w:val="171717"/>
        </w:rPr>
        <w:t xml:space="preserve">☒ </w:t>
      </w:r>
      <w:r>
        <w:rPr>
          <w:rFonts w:ascii="Arial;sans-serif" w:hAnsi="Arial;sans-serif"/>
          <w:b/>
          <w:color w:val="000000"/>
          <w:sz w:val="16"/>
        </w:rPr>
        <w:t>QUARTERLY REPORT PURSUANT TO SECTION 13 OR 15(d) OF THE SECURITIES EXCHANGE ACT OF 1934</w:t>
      </w:r>
    </w:p>
    <w:p>
      <w:pPr>
        <w:pStyle w:val="TextBody"/>
        <w:bidi w:val="0"/>
        <w:spacing w:lineRule="auto" w:line="268" w:before="0" w:after="0"/>
        <w:jc w:val="center"/>
        <w:rPr>
          <w:rFonts w:ascii="Arial;sans-serif" w:hAnsi="Arial;sans-serif"/>
          <w:b/>
          <w:color w:val="171717"/>
          <w:sz w:val="16"/>
        </w:rPr>
      </w:pPr>
      <w:r>
        <w:rPr>
          <w:rFonts w:ascii="Arial;sans-serif" w:hAnsi="Arial;sans-serif"/>
          <w:b/>
          <w:color w:val="171717"/>
          <w:sz w:val="16"/>
        </w:rPr>
        <w:t>For the quarterly period ended June 30, 2026</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171717"/>
          <w:sz w:val="16"/>
        </w:rPr>
      </w:pPr>
      <w:r>
        <w:rPr>
          <w:rFonts w:ascii="Arial;sans-serif" w:hAnsi="Arial;sans-serif"/>
          <w:b/>
          <w:color w:val="171717"/>
          <w:sz w:val="16"/>
        </w:rPr>
        <w:t>OR</w:t>
      </w:r>
    </w:p>
    <w:p>
      <w:pPr>
        <w:pStyle w:val="TextBody"/>
        <w:bidi w:val="0"/>
        <w:spacing w:before="0" w:after="0"/>
        <w:jc w:val="left"/>
        <w:rPr/>
      </w:pPr>
      <w:r>
        <w:rPr/>
      </w:r>
    </w:p>
    <w:p>
      <w:pPr>
        <w:pStyle w:val="TextBody"/>
        <w:bidi w:val="0"/>
        <w:spacing w:lineRule="auto" w:line="268" w:before="0" w:after="0"/>
        <w:jc w:val="center"/>
        <w:rPr/>
      </w:pPr>
      <w:r>
        <w:rPr>
          <w:color w:val="000000"/>
        </w:rPr>
        <w:t>☐</w:t>
      </w:r>
      <w:r>
        <w:rPr>
          <w:color w:val="171717"/>
        </w:rPr>
        <w:t xml:space="preserve"> </w:t>
      </w:r>
      <w:r>
        <w:rPr>
          <w:rFonts w:ascii="Arial;sans-serif" w:hAnsi="Arial;sans-serif"/>
          <w:b/>
          <w:color w:val="000000"/>
          <w:sz w:val="16"/>
        </w:rPr>
        <w:t>TRANSITION REPORT PURSUANT TO SECTION 13 OR 15(d) OF THE SECURITIES EXCHANGE ACT OF 1934</w:t>
      </w:r>
    </w:p>
    <w:p>
      <w:pPr>
        <w:pStyle w:val="TextBody"/>
        <w:bidi w:val="0"/>
        <w:spacing w:lineRule="auto" w:line="268" w:before="0" w:after="0"/>
        <w:jc w:val="center"/>
        <w:rPr>
          <w:rFonts w:ascii="Arial;sans-serif" w:hAnsi="Arial;sans-serif"/>
          <w:b/>
          <w:color w:val="171717"/>
          <w:sz w:val="16"/>
        </w:rPr>
      </w:pPr>
      <w:r>
        <w:rPr>
          <w:rFonts w:ascii="Arial;sans-serif" w:hAnsi="Arial;sans-serif"/>
          <w:b/>
          <w:color w:val="171717"/>
          <w:sz w:val="16"/>
        </w:rPr>
        <w:t xml:space="preserve">For the transition period from to </w:t>
      </w:r>
    </w:p>
    <w:p>
      <w:pPr>
        <w:pStyle w:val="TextBody"/>
        <w:bidi w:val="0"/>
        <w:spacing w:before="0" w:after="0"/>
        <w:jc w:val="left"/>
        <w:rPr/>
      </w:pPr>
      <w:r>
        <w:rPr/>
      </w:r>
    </w:p>
    <w:p>
      <w:pPr>
        <w:pStyle w:val="TextBody"/>
        <w:bidi w:val="0"/>
        <w:spacing w:lineRule="auto" w:line="268" w:before="0" w:after="0"/>
        <w:ind w:left="0" w:right="0" w:firstLine="1"/>
        <w:jc w:val="center"/>
        <w:rPr/>
      </w:pPr>
      <w:r>
        <w:rPr>
          <w:rFonts w:ascii="Arial;sans-serif" w:hAnsi="Arial;sans-serif"/>
          <w:b/>
          <w:color w:val="171717"/>
          <w:sz w:val="16"/>
        </w:rPr>
        <w:t xml:space="preserve">Commission file number </w:t>
      </w:r>
      <w:r>
        <w:rPr>
          <w:rFonts w:ascii="Arial;sans-serif" w:hAnsi="Arial;sans-serif"/>
          <w:b/>
          <w:color w:val="000000"/>
          <w:sz w:val="16"/>
        </w:rPr>
        <w:t>001-43327</w:t>
      </w:r>
      <w:r>
        <w:rPr>
          <w:rFonts w:ascii="Arial;sans-serif" w:hAnsi="Arial;sans-serif"/>
          <w:b/>
          <w:color w:val="171717"/>
          <w:sz w:val="16"/>
        </w:rPr>
        <w:br/>
      </w:r>
      <w:r>
        <w:rPr/>
        <w:drawing>
          <wp:inline distT="0" distB="0" distL="0" distR="0">
            <wp:extent cx="3476625"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76625" cy="19050"/>
                    </a:xfrm>
                    <a:prstGeom prst="rect">
                      <a:avLst/>
                    </a:prstGeom>
                  </pic:spPr>
                </pic:pic>
              </a:graphicData>
            </a:graphic>
          </wp:inline>
        </w:drawing>
      </w:r>
      <w:bookmarkStart w:id="2" w:name="i-3"/>
      <w:bookmarkEnd w:id="2"/>
    </w:p>
    <w:p>
      <w:pPr>
        <w:pStyle w:val="TextBody"/>
        <w:bidi w:val="0"/>
        <w:spacing w:lineRule="auto" w:line="268" w:before="0" w:after="0"/>
        <w:ind w:left="0" w:right="0" w:firstLine="1"/>
        <w:jc w:val="center"/>
        <w:rPr/>
      </w:pPr>
      <w:r>
        <w:rPr/>
        <w:drawing>
          <wp:inline distT="0" distB="0" distL="0" distR="0">
            <wp:extent cx="180975"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0975" cy="323850"/>
                    </a:xfrm>
                    <a:prstGeom prst="rect">
                      <a:avLst/>
                    </a:prstGeom>
                  </pic:spPr>
                </pic:pic>
              </a:graphicData>
            </a:graphic>
          </wp:inline>
        </w:drawing>
      </w:r>
      <w:bookmarkStart w:id="3" w:name="i-4"/>
      <w:bookmarkEnd w:id="3"/>
      <w:r>
        <w:rPr>
          <w:color w:val="000000"/>
        </w:rPr>
        <w:t xml:space="preserve"> </w:t>
      </w:r>
    </w:p>
    <w:p>
      <w:pPr>
        <w:pStyle w:val="TextBody"/>
        <w:bidi w:val="0"/>
        <w:spacing w:lineRule="auto" w:line="268" w:before="0" w:after="0"/>
        <w:ind w:left="0" w:right="0" w:firstLine="1"/>
        <w:jc w:val="center"/>
        <w:rPr>
          <w:rFonts w:ascii="Arial;sans-serif" w:hAnsi="Arial;sans-serif"/>
          <w:b/>
          <w:color w:val="000000"/>
          <w:sz w:val="40"/>
        </w:rPr>
      </w:pPr>
      <w:r>
        <w:rPr>
          <w:rFonts w:ascii="Arial;sans-serif" w:hAnsi="Arial;sans-serif"/>
          <w:b/>
          <w:color w:val="000000"/>
          <w:sz w:val="40"/>
        </w:rPr>
        <w:t>Liftoff Mobile, Inc.</w:t>
      </w:r>
    </w:p>
    <w:p>
      <w:pPr>
        <w:pStyle w:val="TextBody"/>
        <w:bidi w:val="0"/>
        <w:spacing w:lineRule="auto" w:line="268" w:before="0" w:after="0"/>
        <w:jc w:val="center"/>
        <w:rPr/>
      </w:pPr>
      <w:r>
        <w:rPr>
          <w:rFonts w:ascii="Arial;sans-serif" w:hAnsi="Arial;sans-serif"/>
          <w:b/>
          <w:color w:val="171717"/>
          <w:sz w:val="16"/>
        </w:rPr>
        <w:t>(Exact name of registrant as specified in its charter)</w:t>
        <w:br/>
      </w:r>
      <w:r>
        <w:rPr/>
        <w:drawing>
          <wp:inline distT="0" distB="0" distL="0" distR="0">
            <wp:extent cx="3476625"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76625" cy="19050"/>
                    </a:xfrm>
                    <a:prstGeom prst="rect">
                      <a:avLst/>
                    </a:prstGeom>
                  </pic:spPr>
                </pic:pic>
              </a:graphicData>
            </a:graphic>
          </wp:inline>
        </w:drawing>
      </w:r>
      <w:bookmarkStart w:id="4" w:name="i-5"/>
      <w:bookmarkEnd w:id="4"/>
    </w:p>
    <w:p>
      <w:pPr>
        <w:pStyle w:val="TextBody"/>
        <w:bidi w:val="0"/>
        <w:spacing w:before="0" w:after="0"/>
        <w:jc w:val="left"/>
        <w:rPr/>
      </w:pPr>
      <w:r>
        <w:rPr/>
      </w:r>
    </w:p>
    <w:tbl>
      <w:tblPr>
        <w:tblW w:w="3705" w:type="dxa"/>
        <w:jc w:val="center"/>
        <w:tblInd w:w="0" w:type="dxa"/>
        <w:tblLayout w:type="fixed"/>
        <w:tblCellMar>
          <w:top w:w="28" w:type="dxa"/>
          <w:left w:w="28" w:type="dxa"/>
          <w:bottom w:w="28" w:type="dxa"/>
          <w:right w:w="28" w:type="dxa"/>
        </w:tblCellMar>
      </w:tblPr>
      <w:tblGrid>
        <w:gridCol w:w="831"/>
        <w:gridCol w:w="730"/>
        <w:gridCol w:w="734"/>
        <w:gridCol w:w="412"/>
        <w:gridCol w:w="412"/>
        <w:gridCol w:w="58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(State or other jurisdiction of </w:t>
              <w:br/>
              <w:t xml:space="preserve">incorporation or organization)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86-1817506</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No.)</w:t>
            </w:r>
          </w:p>
        </w:tc>
      </w:tr>
    </w:tbl>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900 Middlefield Road</w:t>
      </w:r>
    </w:p>
    <w:p>
      <w:pPr>
        <w:pStyle w:val="TextBody"/>
        <w:bidi w:val="0"/>
        <w:spacing w:lineRule="auto" w:line="288" w:before="0" w:after="0"/>
        <w:jc w:val="center"/>
        <w:rPr/>
      </w:pPr>
      <w:r>
        <w:rPr>
          <w:rFonts w:ascii="Arial;sans-serif" w:hAnsi="Arial;sans-serif"/>
          <w:b/>
          <w:color w:val="000000"/>
          <w:sz w:val="18"/>
        </w:rPr>
        <w:t>Redwood City,</w:t>
      </w:r>
      <w:r>
        <w:rPr>
          <w:color w:val="000000"/>
        </w:rPr>
        <w:t xml:space="preserve"> </w:t>
      </w:r>
      <w:r>
        <w:rPr>
          <w:rFonts w:ascii="Arial;sans-serif" w:hAnsi="Arial;sans-serif"/>
          <w:b/>
          <w:color w:val="000000"/>
          <w:sz w:val="18"/>
        </w:rPr>
        <w:t>California 94063</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(650) 319-7151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9224" w:type="dxa"/>
        <w:jc w:val="left"/>
        <w:tblInd w:w="0" w:type="dxa"/>
        <w:tblLayout w:type="fixed"/>
        <w:tblCellMar>
          <w:top w:w="28" w:type="dxa"/>
          <w:left w:w="28" w:type="dxa"/>
          <w:bottom w:w="28" w:type="dxa"/>
          <w:right w:w="28" w:type="dxa"/>
        </w:tblCellMar>
      </w:tblPr>
      <w:tblGrid>
        <w:gridCol w:w="1409"/>
        <w:gridCol w:w="1238"/>
        <w:gridCol w:w="1253"/>
        <w:gridCol w:w="539"/>
        <w:gridCol w:w="539"/>
        <w:gridCol w:w="541"/>
        <w:gridCol w:w="1085"/>
        <w:gridCol w:w="1085"/>
        <w:gridCol w:w="1535"/>
      </w:tblGrid>
      <w:tr>
        <w:trP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Title of each class</w:t>
            </w:r>
          </w:p>
          <w:p>
            <w:pPr>
              <w:pStyle w:val="TableContents"/>
              <w:bidi w:val="0"/>
              <w:spacing w:before="0" w:after="0"/>
              <w:jc w:val="center"/>
              <w:rPr/>
            </w:pPr>
            <w:r>
              <w:rPr/>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Trading Symbol(s) </w:t>
            </w:r>
          </w:p>
          <w:p>
            <w:pPr>
              <w:pStyle w:val="TableContents"/>
              <w:bidi w:val="0"/>
              <w:spacing w:before="0" w:after="0"/>
              <w:jc w:val="center"/>
              <w:rPr/>
            </w:pPr>
            <w:r>
              <w:rPr/>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Name of each exchange on which registered </w:t>
            </w:r>
          </w:p>
        </w:tc>
      </w:tr>
      <w:tr>
        <w:trPr/>
        <w:tc>
          <w:tcPr>
            <w:tcW w:w="39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LFTO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The Nasdaq Stock Market LLC</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90"/>
        <w:jc w:val="left"/>
        <w:rPr/>
      </w:pPr>
      <w:r>
        <w:rPr>
          <w:rFonts w:ascii="Arial;sans-serif" w:hAnsi="Arial;sans-serif"/>
          <w:b w:val="false"/>
          <w:color w:val="171717"/>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171717"/>
        </w:rPr>
        <w:t xml:space="preserve"> </w:t>
      </w:r>
      <w:r>
        <w:rPr>
          <w:rFonts w:ascii="Arial;sans-serif" w:hAnsi="Arial;sans-serif"/>
          <w:b w:val="false"/>
          <w:color w:val="171717"/>
          <w:sz w:val="16"/>
        </w:rPr>
        <w:t xml:space="preserve">No </w:t>
      </w:r>
      <w:r>
        <w:rPr>
          <w:color w:val="000000"/>
        </w:rPr>
        <w:t>☒</w:t>
      </w:r>
    </w:p>
    <w:p>
      <w:pPr>
        <w:pStyle w:val="TextBody"/>
        <w:bidi w:val="0"/>
        <w:spacing w:before="0" w:after="0"/>
        <w:jc w:val="left"/>
        <w:rPr/>
      </w:pPr>
      <w:r>
        <w:rPr/>
      </w:r>
    </w:p>
    <w:p>
      <w:pPr>
        <w:pStyle w:val="TextBody"/>
        <w:bidi w:val="0"/>
        <w:spacing w:lineRule="auto" w:line="268" w:before="0" w:after="0"/>
        <w:ind w:left="0" w:right="0" w:firstLine="90"/>
        <w:jc w:val="left"/>
        <w:rPr/>
      </w:pPr>
      <w:r>
        <w:rPr>
          <w:rFonts w:ascii="Arial;sans-serif" w:hAnsi="Arial;sans-serif"/>
          <w:b w:val="false"/>
          <w:color w:val="171717"/>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171717"/>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90"/>
        <w:jc w:val="both"/>
        <w:rPr>
          <w:rFonts w:ascii="Arial;sans-serif" w:hAnsi="Arial;sans-serif"/>
          <w:b w:val="false"/>
          <w:color w:val="171717"/>
          <w:sz w:val="16"/>
        </w:rPr>
      </w:pPr>
      <w:r>
        <w:rPr>
          <w:rFonts w:ascii="Arial;sans-serif" w:hAnsi="Arial;sans-serif"/>
          <w:b w:val="false"/>
          <w:color w:val="171717"/>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64" w:type="dxa"/>
        <w:jc w:val="left"/>
        <w:tblInd w:w="0" w:type="dxa"/>
        <w:tblLayout w:type="fixed"/>
        <w:tblCellMar>
          <w:top w:w="28" w:type="dxa"/>
          <w:left w:w="28" w:type="dxa"/>
          <w:bottom w:w="28" w:type="dxa"/>
          <w:right w:w="28" w:type="dxa"/>
        </w:tblCellMar>
      </w:tblPr>
      <w:tblGrid>
        <w:gridCol w:w="645"/>
        <w:gridCol w:w="569"/>
        <w:gridCol w:w="570"/>
        <w:gridCol w:w="142"/>
        <w:gridCol w:w="142"/>
        <w:gridCol w:w="142"/>
        <w:gridCol w:w="684"/>
        <w:gridCol w:w="684"/>
        <w:gridCol w:w="687"/>
        <w:gridCol w:w="109"/>
        <w:gridCol w:w="109"/>
        <w:gridCol w:w="181"/>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 xml:space="preserve">Large accelerated filer </w:t>
            </w:r>
          </w:p>
        </w:tc>
        <w:tc>
          <w:tcPr>
            <w:tcW w:w="4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0"/>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99" w:type="dxa"/>
            <w:gridSpan w:val="3"/>
            <w:tcBorders/>
            <w:tcMar>
              <w:top w:w="0" w:type="dxa"/>
              <w:left w:w="0" w:type="dxa"/>
              <w:bottom w:w="0" w:type="dxa"/>
              <w:right w:w="0" w:type="dxa"/>
            </w:tcMar>
            <w:vAlign w:val="center"/>
          </w:tcPr>
          <w:p>
            <w:pPr>
              <w:pStyle w:val="TableContents"/>
              <w:bidi w:val="0"/>
              <w:spacing w:lineRule="auto" w:line="268" w:before="0" w:after="0"/>
              <w:jc w:val="right"/>
              <w:rPr>
                <w:color w:val="171717"/>
              </w:rPr>
            </w:pPr>
            <w:r>
              <w:rPr>
                <w:color w:val="171717"/>
              </w:rPr>
              <w:t>☐</w:t>
            </w:r>
          </w:p>
          <w:p>
            <w:pPr>
              <w:pStyle w:val="TableContents"/>
              <w:bidi w:val="0"/>
              <w:spacing w:before="0" w:after="0"/>
              <w:ind w:left="0" w:right="0" w:firstLine="50"/>
              <w:jc w:val="right"/>
              <w:rPr/>
            </w:pPr>
            <w:r>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 xml:space="preserve">Non-accelerated filer </w:t>
            </w:r>
          </w:p>
        </w:tc>
        <w:tc>
          <w:tcPr>
            <w:tcW w:w="4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0"/>
              <w:jc w:val="left"/>
              <w:rPr>
                <w:color w:val="000000"/>
              </w:rPr>
            </w:pPr>
            <w:r>
              <w:rPr>
                <w:color w:val="000000"/>
              </w:rPr>
              <w:t xml:space="preserve">☒ </w:t>
            </w:r>
          </w:p>
        </w:tc>
        <w:tc>
          <w:tcPr>
            <w:tcW w:w="2055"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6"/>
              </w:rPr>
            </w:pPr>
            <w:r>
              <w:rPr>
                <w:rFonts w:ascii="Arial;sans-serif" w:hAnsi="Arial;sans-serif"/>
                <w:b w:val="false"/>
                <w:color w:val="000000"/>
                <w:sz w:val="16"/>
              </w:rPr>
              <w:t>Smaller reporting company</w:t>
            </w:r>
          </w:p>
          <w:p>
            <w:pPr>
              <w:pStyle w:val="TableContents"/>
              <w:bidi w:val="0"/>
              <w:spacing w:before="0" w:after="0"/>
              <w:jc w:val="right"/>
              <w:rPr/>
            </w:pPr>
            <w:r>
              <w:rPr/>
            </w:r>
          </w:p>
          <w:p>
            <w:pPr>
              <w:pStyle w:val="TableContents"/>
              <w:bidi w:val="0"/>
              <w:spacing w:before="0" w:after="0"/>
              <w:jc w:val="right"/>
              <w:rPr/>
            </w:pPr>
            <w:r>
              <w:rPr/>
            </w:r>
          </w:p>
        </w:tc>
        <w:tc>
          <w:tcPr>
            <w:tcW w:w="399" w:type="dxa"/>
            <w:gridSpan w:val="3"/>
            <w:tcBorders/>
            <w:tcMar>
              <w:top w:w="0" w:type="dxa"/>
              <w:left w:w="0" w:type="dxa"/>
              <w:bottom w:w="0" w:type="dxa"/>
              <w:right w:w="0" w:type="dxa"/>
            </w:tcMar>
            <w:vAlign w:val="center"/>
          </w:tcPr>
          <w:p>
            <w:pPr>
              <w:pStyle w:val="TableContents"/>
              <w:bidi w:val="0"/>
              <w:spacing w:lineRule="auto" w:line="268" w:before="0" w:after="0"/>
              <w:jc w:val="right"/>
              <w:rPr>
                <w:color w:val="171717"/>
              </w:rPr>
            </w:pPr>
            <w:r>
              <w:rPr>
                <w:color w:val="171717"/>
              </w:rPr>
              <w:t>☐</w:t>
            </w:r>
          </w:p>
          <w:p>
            <w:pPr>
              <w:pStyle w:val="TableContents"/>
              <w:bidi w:val="0"/>
              <w:spacing w:before="0" w:after="0"/>
              <w:jc w:val="right"/>
              <w:rPr/>
            </w:pPr>
            <w:r>
              <w:rPr/>
            </w:r>
          </w:p>
          <w:p>
            <w:pPr>
              <w:pStyle w:val="TableContents"/>
              <w:bidi w:val="0"/>
              <w:spacing w:before="0" w:after="0"/>
              <w:jc w:val="righ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99" w:type="dxa"/>
            <w:gridSpan w:val="3"/>
            <w:tcBorders/>
            <w:tcMar>
              <w:top w:w="0" w:type="dxa"/>
              <w:left w:w="0" w:type="dxa"/>
              <w:bottom w:w="0" w:type="dxa"/>
              <w:right w:w="0" w:type="dxa"/>
            </w:tcMar>
            <w:vAlign w:val="center"/>
          </w:tcPr>
          <w:p>
            <w:pPr>
              <w:pStyle w:val="TableContents"/>
              <w:bidi w:val="0"/>
              <w:spacing w:lineRule="auto" w:line="268" w:before="0" w:after="0"/>
              <w:jc w:val="right"/>
              <w:rPr>
                <w:color w:val="171717"/>
              </w:rPr>
            </w:pPr>
            <w:r>
              <w:rPr>
                <w:color w:val="171717"/>
              </w:rPr>
              <w:t>☒</w:t>
            </w:r>
          </w:p>
        </w:tc>
      </w:tr>
    </w:tbl>
    <w:p>
      <w:pPr>
        <w:pStyle w:val="TextBody"/>
        <w:bidi w:val="0"/>
        <w:spacing w:lineRule="auto" w:line="288" w:before="0" w:after="0"/>
        <w:ind w:left="0" w:right="0" w:firstLine="90"/>
        <w:jc w:val="left"/>
        <w:rPr/>
      </w:pPr>
      <w:r>
        <w:rPr>
          <w:rFonts w:ascii="Arial;sans-serif" w:hAnsi="Arial;sans-serif"/>
          <w:b w:val="false"/>
          <w:color w:val="171717"/>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171717"/>
        </w:rPr>
        <w:t xml:space="preserve"> </w:t>
      </w:r>
    </w:p>
    <w:p>
      <w:pPr>
        <w:pStyle w:val="TextBody"/>
        <w:bidi w:val="0"/>
        <w:spacing w:before="0" w:after="0"/>
        <w:jc w:val="left"/>
        <w:rPr/>
      </w:pPr>
      <w:r>
        <w:rPr/>
      </w:r>
    </w:p>
    <w:p>
      <w:pPr>
        <w:pStyle w:val="TextBody"/>
        <w:bidi w:val="0"/>
        <w:spacing w:lineRule="auto" w:line="268" w:before="0" w:after="0"/>
        <w:ind w:left="0" w:right="0" w:firstLine="90"/>
        <w:jc w:val="left"/>
        <w:rPr/>
      </w:pPr>
      <w:r>
        <w:rPr>
          <w:rFonts w:ascii="Arial;sans-serif" w:hAnsi="Arial;sans-serif"/>
          <w:b w:val="false"/>
          <w:color w:val="171717"/>
          <w:sz w:val="16"/>
        </w:rPr>
        <w:t xml:space="preserve">Indicate by check mark whether the registrant is a shell company (as defined in Rule 12b-2 of the Act). Yes </w:t>
      </w:r>
      <w:r>
        <w:rPr>
          <w:color w:val="000000"/>
        </w:rPr>
        <w:t>☐</w:t>
      </w:r>
      <w:r>
        <w:rPr>
          <w:color w:val="171717"/>
        </w:rPr>
        <w:t xml:space="preserve"> </w:t>
      </w:r>
      <w:r>
        <w:rPr>
          <w:rFonts w:ascii="Arial;sans-serif" w:hAnsi="Arial;sans-serif"/>
          <w:b w:val="false"/>
          <w:color w:val="171717"/>
          <w:sz w:val="16"/>
        </w:rPr>
        <w:t xml:space="preserve">No </w:t>
      </w:r>
      <w:r>
        <w:rPr>
          <w:color w:val="000000"/>
        </w:rPr>
        <w:t>☒</w:t>
      </w:r>
    </w:p>
    <w:p>
      <w:pPr>
        <w:pStyle w:val="TextBody"/>
        <w:bidi w:val="0"/>
        <w:spacing w:before="0" w:after="0"/>
        <w:jc w:val="left"/>
        <w:rPr/>
      </w:pPr>
      <w:r>
        <w:rPr/>
      </w:r>
    </w:p>
    <w:p>
      <w:pPr>
        <w:pStyle w:val="TextBody"/>
        <w:bidi w:val="0"/>
        <w:spacing w:lineRule="auto" w:line="283" w:before="0" w:after="0"/>
        <w:ind w:left="0" w:right="0" w:hanging="630"/>
        <w:jc w:val="left"/>
        <w:rPr/>
      </w:pPr>
      <w:r>
        <w:rPr>
          <w:rFonts w:ascii="Arial;sans-serif" w:hAnsi="Arial;sans-serif"/>
          <w:b w:val="false"/>
          <w:color w:val="171717"/>
          <w:sz w:val="16"/>
        </w:rPr>
        <w:t xml:space="preserve">As of July 28, 2026, the registrant had </w:t>
      </w:r>
      <w:r>
        <w:rPr>
          <w:rFonts w:ascii="Arial;sans-serif" w:hAnsi="Arial;sans-serif"/>
          <w:b w:val="false"/>
          <w:color w:val="000000"/>
          <w:sz w:val="16"/>
        </w:rPr>
        <w:t>169,331,527 shares of common stock, par value $0.0001 per share,</w:t>
      </w:r>
      <w:r>
        <w:rPr>
          <w:color w:val="171717"/>
        </w:rPr>
        <w:t xml:space="preserve"> </w:t>
      </w:r>
      <w:r>
        <w:rPr>
          <w:rFonts w:ascii="Arial;sans-serif" w:hAnsi="Arial;sans-serif"/>
          <w:b w:val="false"/>
          <w:color w:val="171717"/>
          <w:sz w:val="16"/>
        </w:rPr>
        <w:t>outstanding.</w:t>
      </w:r>
    </w:p>
    <w:p>
      <w:pPr>
        <w:pStyle w:val="TextBody"/>
        <w:bidi w:val="0"/>
        <w:spacing w:before="0" w:after="0"/>
        <w:jc w:val="left"/>
        <w:rPr/>
      </w:pPr>
      <w:r>
        <w:rPr/>
      </w:r>
    </w:p>
    <w:p>
      <w:pPr>
        <w:pStyle w:val="TextBody"/>
        <w:bidi w:val="0"/>
        <w:spacing w:before="0" w:after="0"/>
        <w:ind w:left="0" w:right="0" w:firstLine="90"/>
        <w:jc w:val="left"/>
        <w:rPr/>
      </w:pPr>
      <w:r>
        <w:rPr/>
        <w:drawing>
          <wp:inline distT="0" distB="0" distL="0" distR="0">
            <wp:extent cx="6800850" cy="38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00850" cy="38100"/>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7"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6" w:name="icc1e9c080ed246be88010f8a135fb3f6"/>
      <w:bookmarkEnd w:id="6"/>
      <w:r>
        <w:rPr>
          <w:rFonts w:ascii="Arial;sans-serif" w:hAnsi="Arial;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0"/>
        <w:gridCol w:w="3033"/>
        <w:gridCol w:w="3045"/>
        <w:gridCol w:w="198"/>
        <w:gridCol w:w="198"/>
        <w:gridCol w:w="281"/>
      </w:tblGrid>
      <w:tr>
        <w:trPr/>
        <w:tc>
          <w:tcPr>
            <w:tcW w:w="3450"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528"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2"/>
                <w:u w:val="single"/>
              </w:rPr>
            </w:pPr>
            <w:r>
              <w:rPr>
                <w:rFonts w:ascii="Arial;sans-serif" w:hAnsi="Arial;sans-serif"/>
                <w:b/>
                <w:color w:val="000000"/>
                <w:sz w:val="22"/>
                <w:u w:val="single"/>
              </w:rPr>
              <w:t>Page</w:t>
            </w:r>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6cb403c1c84322b4abdbc30c036b96">
              <w:r>
                <w:rPr>
                  <w:rStyle w:val="InternetLink"/>
                  <w:rFonts w:ascii="Arial;sans-serif" w:hAnsi="Arial;sans-serif"/>
                  <w:b w:val="false"/>
                  <w:strike w:val="false"/>
                  <w:dstrike w:val="false"/>
                  <w:color w:val="000000"/>
                  <w:sz w:val="22"/>
                  <w:u w:val="none"/>
                  <w:effect w:val="none"/>
                </w:rPr>
                <w:t>PART I—FINANCIAL INFORMATION (UNAUDITED)</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66cb403c1c84322b4abdbc30c036b96">
              <w:r>
                <w:rPr>
                  <w:rStyle w:val="InternetLink"/>
                  <w:rFonts w:ascii="Arial;sans-serif" w:hAnsi="Arial;sans-serif"/>
                  <w:b w:val="false"/>
                  <w:strike w:val="false"/>
                  <w:dstrike w:val="false"/>
                  <w:color w:val="000000"/>
                  <w:sz w:val="22"/>
                  <w:u w:val="none"/>
                  <w:effect w:val="none"/>
                </w:rPr>
                <w:t>1</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855640154f4d66b14e11ac5d149dd3">
              <w:r>
                <w:rPr>
                  <w:rStyle w:val="InternetLink"/>
                  <w:rFonts w:ascii="Arial;sans-serif" w:hAnsi="Arial;sans-serif"/>
                  <w:b w:val="false"/>
                  <w:strike w:val="false"/>
                  <w:dstrike w:val="false"/>
                  <w:color w:val="000000"/>
                  <w:sz w:val="22"/>
                  <w:u w:val="none"/>
                  <w:effect w:val="none"/>
                </w:rPr>
                <w:t>Item 1. Financial Statements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855640154f4d66b14e11ac5d149dd3">
              <w:r>
                <w:rPr>
                  <w:rStyle w:val="InternetLink"/>
                  <w:rFonts w:ascii="Arial;sans-serif" w:hAnsi="Arial;sans-serif"/>
                  <w:b w:val="false"/>
                  <w:strike w:val="false"/>
                  <w:dstrike w:val="false"/>
                  <w:color w:val="000000"/>
                  <w:sz w:val="22"/>
                  <w:u w:val="none"/>
                  <w:effect w:val="none"/>
                </w:rPr>
                <w:t>1</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36fc5c03124325b272b26cb1383509">
              <w:r>
                <w:rPr>
                  <w:rStyle w:val="InternetLink"/>
                  <w:rFonts w:ascii="Arial;sans-serif" w:hAnsi="Arial;sans-serif"/>
                  <w:b w:val="false"/>
                  <w:strike w:val="false"/>
                  <w:dstrike w:val="false"/>
                  <w:color w:val="000000"/>
                  <w:sz w:val="22"/>
                  <w:u w:val="none"/>
                  <w:effect w:val="none"/>
                </w:rPr>
                <w:t>Condensed Consolidated Balance Sheets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36fc5c03124325b272b26cb1383509">
              <w:r>
                <w:rPr>
                  <w:rStyle w:val="InternetLink"/>
                  <w:rFonts w:ascii="Arial;sans-serif" w:hAnsi="Arial;sans-serif"/>
                  <w:b w:val="false"/>
                  <w:strike w:val="false"/>
                  <w:dstrike w:val="false"/>
                  <w:color w:val="000000"/>
                  <w:sz w:val="22"/>
                  <w:u w:val="none"/>
                  <w:effect w:val="none"/>
                </w:rPr>
                <w:t>1</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a3246b2fc1456a991e9b06b6124f94">
              <w:r>
                <w:rPr>
                  <w:rStyle w:val="InternetLink"/>
                  <w:rFonts w:ascii="Arial;sans-serif" w:hAnsi="Arial;sans-serif"/>
                  <w:b w:val="false"/>
                  <w:strike w:val="false"/>
                  <w:dstrike w:val="false"/>
                  <w:color w:val="000000"/>
                  <w:sz w:val="22"/>
                  <w:u w:val="none"/>
                  <w:effect w:val="none"/>
                </w:rPr>
                <w:t>Condensed Consolidated Statements of Operations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a3246b2fc1456a991e9b06b6124f94">
              <w:r>
                <w:rPr>
                  <w:rStyle w:val="InternetLink"/>
                  <w:rFonts w:ascii="Arial;sans-serif" w:hAnsi="Arial;sans-serif"/>
                  <w:b w:val="false"/>
                  <w:strike w:val="false"/>
                  <w:dstrike w:val="false"/>
                  <w:color w:val="000000"/>
                  <w:sz w:val="22"/>
                  <w:u w:val="none"/>
                  <w:effect w:val="none"/>
                </w:rPr>
                <w:t>2</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59ac802af64dd09bbb04385116945a">
              <w:r>
                <w:rPr>
                  <w:rStyle w:val="InternetLink"/>
                  <w:rFonts w:ascii="Arial;sans-serif" w:hAnsi="Arial;sans-serif"/>
                  <w:b w:val="false"/>
                  <w:strike w:val="false"/>
                  <w:dstrike w:val="false"/>
                  <w:color w:val="000000"/>
                  <w:sz w:val="22"/>
                  <w:u w:val="none"/>
                  <w:effect w:val="none"/>
                </w:rPr>
                <w:t>Condensed Consolidated Statements of Comprehensive Income (Loss)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59ac802af64dd09bbb04385116945a">
              <w:r>
                <w:rPr>
                  <w:rStyle w:val="InternetLink"/>
                  <w:rFonts w:ascii="Arial;sans-serif" w:hAnsi="Arial;sans-serif"/>
                  <w:b w:val="false"/>
                  <w:strike w:val="false"/>
                  <w:dstrike w:val="false"/>
                  <w:color w:val="000000"/>
                  <w:sz w:val="22"/>
                  <w:u w:val="none"/>
                  <w:effect w:val="none"/>
                </w:rPr>
                <w:t>3</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3d1e4bb22a4d47a7531b76b46dd45b">
              <w:r>
                <w:rPr>
                  <w:rStyle w:val="InternetLink"/>
                  <w:rFonts w:ascii="Arial;sans-serif" w:hAnsi="Arial;sans-serif"/>
                  <w:b w:val="false"/>
                  <w:strike w:val="false"/>
                  <w:dstrike w:val="false"/>
                  <w:color w:val="000000"/>
                  <w:sz w:val="22"/>
                  <w:u w:val="none"/>
                  <w:effect w:val="none"/>
                </w:rPr>
                <w:t>Condensed Consolidated Statements of Redeemable Convertible Preferred Stock and Stockholders’ Equity (Deficit)</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3d1e4bb22a4d47a7531b76b46dd45b">
              <w:r>
                <w:rPr>
                  <w:rStyle w:val="InternetLink"/>
                  <w:rFonts w:ascii="Arial;sans-serif" w:hAnsi="Arial;sans-serif"/>
                  <w:b w:val="false"/>
                  <w:strike w:val="false"/>
                  <w:dstrike w:val="false"/>
                  <w:color w:val="000000"/>
                  <w:sz w:val="22"/>
                  <w:u w:val="none"/>
                  <w:effect w:val="none"/>
                </w:rPr>
                <w:t>4</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57b6e4058fe4afdb73447355391995b">
              <w:r>
                <w:rPr>
                  <w:rStyle w:val="InternetLink"/>
                  <w:rFonts w:ascii="Arial;sans-serif" w:hAnsi="Arial;sans-serif"/>
                  <w:b w:val="false"/>
                  <w:strike w:val="false"/>
                  <w:dstrike w:val="false"/>
                  <w:color w:val="000000"/>
                  <w:sz w:val="22"/>
                  <w:u w:val="none"/>
                  <w:effect w:val="none"/>
                </w:rPr>
                <w:t>Condensed Consolidated Statements of Cash Flows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57b6e4058fe4afdb73447355391995b">
              <w:r>
                <w:rPr>
                  <w:rStyle w:val="InternetLink"/>
                  <w:rFonts w:ascii="Arial;sans-serif" w:hAnsi="Arial;sans-serif"/>
                  <w:b w:val="false"/>
                  <w:strike w:val="false"/>
                  <w:dstrike w:val="false"/>
                  <w:color w:val="000000"/>
                  <w:sz w:val="22"/>
                  <w:u w:val="none"/>
                  <w:effect w:val="none"/>
                </w:rPr>
                <w:t>6</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8d54ea8147e4468889c2e84575d31f3">
              <w:r>
                <w:rPr>
                  <w:rStyle w:val="InternetLink"/>
                  <w:rFonts w:ascii="Arial;sans-serif" w:hAnsi="Arial;sans-serif"/>
                  <w:b w:val="false"/>
                  <w:strike w:val="false"/>
                  <w:dstrike w:val="false"/>
                  <w:color w:val="000000"/>
                  <w:sz w:val="22"/>
                  <w:u w:val="none"/>
                  <w:effect w:val="none"/>
                </w:rPr>
                <w:t xml:space="preserve">Notes to the Condensed Consolidated Financial Statements </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d54ea8147e4468889c2e84575d31f3">
              <w:r>
                <w:rPr>
                  <w:rStyle w:val="InternetLink"/>
                  <w:rFonts w:ascii="Arial;sans-serif" w:hAnsi="Arial;sans-serif"/>
                  <w:b w:val="false"/>
                  <w:strike w:val="false"/>
                  <w:dstrike w:val="false"/>
                  <w:color w:val="000000"/>
                  <w:sz w:val="22"/>
                  <w:u w:val="none"/>
                  <w:effect w:val="none"/>
                </w:rPr>
                <w:t>8</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ffcad8a18364fcb967ede71a9af77e0">
              <w:r>
                <w:rPr>
                  <w:rStyle w:val="InternetLink"/>
                  <w:rFonts w:ascii="Arial;sans-serif" w:hAnsi="Arial;sans-serif"/>
                  <w:b w:val="false"/>
                  <w:strike w:val="false"/>
                  <w:dstrike w:val="false"/>
                  <w:color w:val="000000"/>
                  <w:sz w:val="22"/>
                  <w:u w:val="none"/>
                  <w:effect w:val="none"/>
                </w:rPr>
                <w:t>Item 2. Management’s Discussion and Analysis of Financial Condition and Results of Operations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ffcad8a18364fcb967ede71a9af77e0">
              <w:r>
                <w:rPr>
                  <w:rStyle w:val="InternetLink"/>
                  <w:rFonts w:ascii="Arial;sans-serif" w:hAnsi="Arial;sans-serif"/>
                  <w:b w:val="false"/>
                  <w:strike w:val="false"/>
                  <w:dstrike w:val="false"/>
                  <w:color w:val="000000"/>
                  <w:sz w:val="22"/>
                  <w:u w:val="none"/>
                  <w:effect w:val="none"/>
                </w:rPr>
                <w:t>25</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83ebbebcda43a6935bdfbf7a88016d">
              <w:r>
                <w:rPr>
                  <w:rStyle w:val="InternetLink"/>
                  <w:rFonts w:ascii="Arial;sans-serif" w:hAnsi="Arial;sans-serif"/>
                  <w:b w:val="false"/>
                  <w:strike w:val="false"/>
                  <w:dstrike w:val="false"/>
                  <w:color w:val="000000"/>
                  <w:sz w:val="22"/>
                  <w:u w:val="none"/>
                  <w:effect w:val="none"/>
                </w:rPr>
                <w:t>Item 3. Quantitative and Qualitative Disclosures About Market Risk</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83ebbebcda43a6935bdfbf7a88016d">
              <w:r>
                <w:rPr>
                  <w:rStyle w:val="InternetLink"/>
                  <w:rFonts w:ascii="Arial;sans-serif" w:hAnsi="Arial;sans-serif"/>
                  <w:b w:val="false"/>
                  <w:strike w:val="false"/>
                  <w:dstrike w:val="false"/>
                  <w:color w:val="000000"/>
                  <w:sz w:val="22"/>
                  <w:u w:val="none"/>
                  <w:effect w:val="none"/>
                </w:rPr>
                <w:t>46</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bd115cc32c4c60bc0a65895671c5c0">
              <w:r>
                <w:rPr>
                  <w:rStyle w:val="InternetLink"/>
                  <w:rFonts w:ascii="Arial;sans-serif" w:hAnsi="Arial;sans-serif"/>
                  <w:b w:val="false"/>
                  <w:strike w:val="false"/>
                  <w:dstrike w:val="false"/>
                  <w:color w:val="000000"/>
                  <w:sz w:val="22"/>
                  <w:u w:val="none"/>
                  <w:effect w:val="none"/>
                </w:rPr>
                <w:t>Item 4. Controls and Procedures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bd115cc32c4c60bc0a65895671c5c0">
              <w:r>
                <w:rPr>
                  <w:rStyle w:val="InternetLink"/>
                  <w:rFonts w:ascii="Arial;sans-serif" w:hAnsi="Arial;sans-serif"/>
                  <w:b w:val="false"/>
                  <w:strike w:val="false"/>
                  <w:dstrike w:val="false"/>
                  <w:color w:val="000000"/>
                  <w:sz w:val="22"/>
                  <w:u w:val="none"/>
                  <w:effect w:val="none"/>
                </w:rPr>
                <w:t>47</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04c6a018ad4e448db2aff4ad1cc8db">
              <w:r>
                <w:rPr>
                  <w:rStyle w:val="InternetLink"/>
                  <w:rFonts w:ascii="Arial;sans-serif" w:hAnsi="Arial;sans-serif"/>
                  <w:b w:val="false"/>
                  <w:strike w:val="false"/>
                  <w:dstrike w:val="false"/>
                  <w:color w:val="000000"/>
                  <w:sz w:val="22"/>
                  <w:u w:val="none"/>
                  <w:effect w:val="none"/>
                </w:rPr>
                <w:t>PART II—OTHER INFORMATION</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504c6a018ad4e448db2aff4ad1cc8db">
              <w:r>
                <w:rPr>
                  <w:rStyle w:val="InternetLink"/>
                  <w:rFonts w:ascii="Arial;sans-serif" w:hAnsi="Arial;sans-serif"/>
                  <w:b w:val="false"/>
                  <w:strike w:val="false"/>
                  <w:dstrike w:val="false"/>
                  <w:color w:val="000000"/>
                  <w:sz w:val="22"/>
                  <w:u w:val="none"/>
                  <w:effect w:val="none"/>
                </w:rPr>
                <w:t>49</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6d76be3477439c9f560d1170c76843">
              <w:r>
                <w:rPr>
                  <w:rStyle w:val="InternetLink"/>
                  <w:rFonts w:ascii="Arial;sans-serif" w:hAnsi="Arial;sans-serif"/>
                  <w:b w:val="false"/>
                  <w:strike w:val="false"/>
                  <w:dstrike w:val="false"/>
                  <w:color w:val="000000"/>
                  <w:sz w:val="22"/>
                  <w:u w:val="none"/>
                  <w:effect w:val="none"/>
                </w:rPr>
                <w:t>Item 1. Legal Proceedings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6d76be3477439c9f560d1170c76843">
              <w:r>
                <w:rPr>
                  <w:rStyle w:val="InternetLink"/>
                  <w:rFonts w:ascii="Arial;sans-serif" w:hAnsi="Arial;sans-serif"/>
                  <w:b w:val="false"/>
                  <w:strike w:val="false"/>
                  <w:dstrike w:val="false"/>
                  <w:color w:val="000000"/>
                  <w:sz w:val="22"/>
                  <w:u w:val="none"/>
                  <w:effect w:val="none"/>
                </w:rPr>
                <w:t>49</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6b9b7247dff405381838b52ac237505">
              <w:r>
                <w:rPr>
                  <w:rStyle w:val="InternetLink"/>
                  <w:rFonts w:ascii="Arial;sans-serif" w:hAnsi="Arial;sans-serif"/>
                  <w:b w:val="false"/>
                  <w:strike w:val="false"/>
                  <w:dstrike w:val="false"/>
                  <w:color w:val="000000"/>
                  <w:sz w:val="22"/>
                  <w:u w:val="none"/>
                  <w:effect w:val="none"/>
                </w:rPr>
                <w:t>Item 1A. Risk Factors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6b9b7247dff405381838b52ac237505">
              <w:r>
                <w:rPr>
                  <w:rStyle w:val="InternetLink"/>
                  <w:rFonts w:ascii="Arial;sans-serif" w:hAnsi="Arial;sans-serif"/>
                  <w:b w:val="false"/>
                  <w:strike w:val="false"/>
                  <w:dstrike w:val="false"/>
                  <w:color w:val="000000"/>
                  <w:sz w:val="22"/>
                  <w:u w:val="none"/>
                  <w:effect w:val="none"/>
                </w:rPr>
                <w:t>49</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9faa08ef554b7d936b29bf1fc803d6">
              <w:r>
                <w:rPr>
                  <w:rStyle w:val="InternetLink"/>
                  <w:rFonts w:ascii="Arial;sans-serif" w:hAnsi="Arial;sans-serif"/>
                  <w:b w:val="false"/>
                  <w:strike w:val="false"/>
                  <w:dstrike w:val="false"/>
                  <w:color w:val="000000"/>
                  <w:sz w:val="22"/>
                  <w:u w:val="none"/>
                  <w:effect w:val="none"/>
                </w:rPr>
                <w:t>Item 2. Unregistered Sales of Equity Securities and Use of Proceeds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9faa08ef554b7d936b29bf1fc803d6">
              <w:r>
                <w:rPr>
                  <w:rStyle w:val="InternetLink"/>
                  <w:rFonts w:ascii="Arial;sans-serif" w:hAnsi="Arial;sans-serif"/>
                  <w:b w:val="false"/>
                  <w:strike w:val="false"/>
                  <w:dstrike w:val="false"/>
                  <w:color w:val="000000"/>
                  <w:sz w:val="22"/>
                  <w:u w:val="none"/>
                  <w:effect w:val="none"/>
                </w:rPr>
                <w:t>49</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b29d61bcd4fdb9011f43cb40e8820">
              <w:r>
                <w:rPr>
                  <w:rStyle w:val="InternetLink"/>
                  <w:rFonts w:ascii="Arial;sans-serif" w:hAnsi="Arial;sans-serif"/>
                  <w:b w:val="false"/>
                  <w:strike w:val="false"/>
                  <w:dstrike w:val="false"/>
                  <w:color w:val="000000"/>
                  <w:sz w:val="22"/>
                  <w:u w:val="none"/>
                  <w:effect w:val="none"/>
                </w:rPr>
                <w:t>Item 3. Defaults Upon Senior Securities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7b29d61bcd4fdb9011f43cb40e8820">
              <w:r>
                <w:rPr>
                  <w:rStyle w:val="InternetLink"/>
                  <w:rFonts w:ascii="Arial;sans-serif" w:hAnsi="Arial;sans-serif"/>
                  <w:b w:val="false"/>
                  <w:strike w:val="false"/>
                  <w:dstrike w:val="false"/>
                  <w:color w:val="000000"/>
                  <w:sz w:val="22"/>
                  <w:u w:val="none"/>
                  <w:effect w:val="none"/>
                </w:rPr>
                <w:t>50</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ddb3a992fa45f2b6ba7a9f10f904c7">
              <w:r>
                <w:rPr>
                  <w:rStyle w:val="InternetLink"/>
                  <w:rFonts w:ascii="Arial;sans-serif" w:hAnsi="Arial;sans-serif"/>
                  <w:b w:val="false"/>
                  <w:strike w:val="false"/>
                  <w:dstrike w:val="false"/>
                  <w:color w:val="000000"/>
                  <w:sz w:val="22"/>
                  <w:u w:val="none"/>
                  <w:effect w:val="none"/>
                </w:rPr>
                <w:t>Item 4. Mine Safety Disclosures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ddb3a992fa45f2b6ba7a9f10f904c7">
              <w:r>
                <w:rPr>
                  <w:rStyle w:val="InternetLink"/>
                  <w:rFonts w:ascii="Arial;sans-serif" w:hAnsi="Arial;sans-serif"/>
                  <w:b w:val="false"/>
                  <w:strike w:val="false"/>
                  <w:dstrike w:val="false"/>
                  <w:color w:val="000000"/>
                  <w:sz w:val="22"/>
                  <w:u w:val="none"/>
                  <w:effect w:val="none"/>
                </w:rPr>
                <w:t>50</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3e2d7cf5ea48ee885835bb0c7c2c12">
              <w:r>
                <w:rPr>
                  <w:rStyle w:val="InternetLink"/>
                  <w:rFonts w:ascii="Arial;sans-serif" w:hAnsi="Arial;sans-serif"/>
                  <w:b w:val="false"/>
                  <w:strike w:val="false"/>
                  <w:dstrike w:val="false"/>
                  <w:color w:val="000000"/>
                  <w:sz w:val="22"/>
                  <w:u w:val="none"/>
                  <w:effect w:val="none"/>
                </w:rPr>
                <w:t>Item 5. Other Information</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3e2d7cf5ea48ee885835bb0c7c2c12">
              <w:r>
                <w:rPr>
                  <w:rStyle w:val="InternetLink"/>
                  <w:rFonts w:ascii="Arial;sans-serif" w:hAnsi="Arial;sans-serif"/>
                  <w:b w:val="false"/>
                  <w:strike w:val="false"/>
                  <w:dstrike w:val="false"/>
                  <w:color w:val="000000"/>
                  <w:sz w:val="22"/>
                  <w:u w:val="none"/>
                  <w:effect w:val="none"/>
                </w:rPr>
                <w:t>50</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cf31c22d8364379a969fe1564c8abf1">
              <w:r>
                <w:rPr>
                  <w:rStyle w:val="InternetLink"/>
                  <w:rFonts w:ascii="Arial;sans-serif" w:hAnsi="Arial;sans-serif"/>
                  <w:b w:val="false"/>
                  <w:strike w:val="false"/>
                  <w:dstrike w:val="false"/>
                  <w:color w:val="000000"/>
                  <w:sz w:val="22"/>
                  <w:u w:val="none"/>
                  <w:effect w:val="none"/>
                </w:rPr>
                <w:t>Item 6. Exhibits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cf31c22d8364379a969fe1564c8abf1">
              <w:r>
                <w:rPr>
                  <w:rStyle w:val="InternetLink"/>
                  <w:rFonts w:ascii="Arial;sans-serif" w:hAnsi="Arial;sans-serif"/>
                  <w:b w:val="false"/>
                  <w:strike w:val="false"/>
                  <w:dstrike w:val="false"/>
                  <w:color w:val="000000"/>
                  <w:sz w:val="22"/>
                  <w:u w:val="none"/>
                  <w:effect w:val="none"/>
                </w:rPr>
                <w:t>51</w:t>
              </w:r>
            </w:hyperlink>
          </w:p>
        </w:tc>
      </w:tr>
      <w:tr>
        <w:trPr/>
        <w:tc>
          <w:tcPr>
            <w:tcW w:w="95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d986f54f69447d944bfd12fdbf01b7">
              <w:r>
                <w:rPr>
                  <w:rStyle w:val="InternetLink"/>
                  <w:rFonts w:ascii="Arial;sans-serif" w:hAnsi="Arial;sans-serif"/>
                  <w:b w:val="false"/>
                  <w:strike w:val="false"/>
                  <w:dstrike w:val="false"/>
                  <w:color w:val="000000"/>
                  <w:sz w:val="22"/>
                  <w:u w:val="none"/>
                  <w:effect w:val="none"/>
                </w:rPr>
                <w:t>Signatures</w:t>
              </w:r>
            </w:hyperlink>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d986f54f69447d944bfd12fdbf01b7">
              <w:r>
                <w:rPr>
                  <w:rStyle w:val="InternetLink"/>
                  <w:rFonts w:ascii="Arial;sans-serif" w:hAnsi="Arial;sans-serif"/>
                  <w:b w:val="false"/>
                  <w:strike w:val="false"/>
                  <w:dstrike w:val="false"/>
                  <w:color w:val="000000"/>
                  <w:sz w:val="22"/>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WEBSITE AND SOCIAL MEDIA DISCLOSURE</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Arial;sans-serif" w:hAnsi="Arial;sans-serif"/>
          <w:b w:val="false"/>
          <w:color w:val="000000"/>
          <w:sz w:val="20"/>
        </w:rPr>
        <w:t>We may use our website (</w:t>
      </w:r>
      <w:r>
        <w:rPr>
          <w:rFonts w:ascii="Arial;sans-serif" w:hAnsi="Arial;sans-serif"/>
          <w:b w:val="false"/>
          <w:i/>
          <w:color w:val="000000"/>
          <w:sz w:val="20"/>
        </w:rPr>
        <w:t>liftoff.ai</w:t>
      </w:r>
      <w:r>
        <w:rPr>
          <w:rFonts w:ascii="Arial;sans-serif" w:hAnsi="Arial;sans-serif"/>
          <w:b w:val="false"/>
          <w:color w:val="000000"/>
          <w:sz w:val="20"/>
        </w:rPr>
        <w:t>), our blog (</w:t>
      </w:r>
      <w:r>
        <w:rPr>
          <w:rFonts w:ascii="Arial;sans-serif" w:hAnsi="Arial;sans-serif"/>
          <w:b w:val="false"/>
          <w:i/>
          <w:color w:val="000000"/>
          <w:sz w:val="20"/>
        </w:rPr>
        <w:t>liftoff.ai/blog</w:t>
      </w:r>
      <w:r>
        <w:rPr>
          <w:rFonts w:ascii="Arial;sans-serif" w:hAnsi="Arial;sans-serif"/>
          <w:b w:val="false"/>
          <w:color w:val="000000"/>
          <w:sz w:val="20"/>
        </w:rPr>
        <w:t>), and/or our LinkedIn account (</w:t>
      </w:r>
      <w:r>
        <w:rPr>
          <w:rFonts w:ascii="Arial;sans-serif" w:hAnsi="Arial;sans-serif"/>
          <w:b w:val="false"/>
          <w:i/>
          <w:color w:val="000000"/>
          <w:sz w:val="20"/>
        </w:rPr>
        <w:t>www.linkedin.com/company/liftoffmobile</w:t>
      </w:r>
      <w:r>
        <w:rPr>
          <w:rFonts w:ascii="Arial;sans-serif" w:hAnsi="Arial;sans-serif"/>
          <w:b w:val="false"/>
          <w:color w:val="000000"/>
          <w:sz w:val="20"/>
        </w:rPr>
        <w:t xml:space="preserve">) as channels of distribution of company information. The information we post through these channels may be deemed material. Accordingly, investors should monitor these channels, in addition to following our press releases, Securities and Exchange Commission (“SEC”) filings and public conference calls, and webcasts. In addition, you may automatically receive email alerts and other information about Liftoff Mobile, Inc. when you enroll your email address by visiting the “Email Alerts” section of our website at </w:t>
      </w:r>
      <w:r>
        <w:rPr>
          <w:rFonts w:ascii="Arial;sans-serif" w:hAnsi="Arial;sans-serif"/>
          <w:b w:val="false"/>
          <w:i/>
          <w:color w:val="000000"/>
          <w:sz w:val="20"/>
        </w:rPr>
        <w:t>https://investors.liftoff.ai/</w:t>
      </w:r>
      <w:r>
        <w:rPr>
          <w:rFonts w:ascii="Arial;sans-serif" w:hAnsi="Arial;sans-serif"/>
          <w:b w:val="false"/>
          <w:color w:val="000000"/>
          <w:sz w:val="20"/>
        </w:rPr>
        <w:t>. The contents of our website and social media channels and any alerts are not, however, a part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MARKET AND INDUSTRY DATA</w:t>
      </w:r>
    </w:p>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This Quarterly Report on Form 10-Q includes market and industry data and forecasts that we have derived from independent consultant reports, publicly available information, and published industry sources, including the November 2025 study that we commissioned from Altman Solon US, LP (the “Altman Solon Report”) and our internal data and estimates, which are derived from management’s knowledge of our industry and such independent sources referred to above. Independent consultant reports, industry publications and other published industry sources generally indicate that the information contained therein was obtained from sources believed to be reliable. Although we believe that these third-party sources are reliable, we do not guarantee the accuracy or completeness of this information, and we have not independently verified this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preparing the Altman Solon Report, Altman Solon has made assumptions regarding, among other things, (i) the continued engagement of mobile users with mobile devices and applications, (ii) the ongoing participation and investment of advertisers within the in-app ecosystem, (iii) the sustainability and scalability of third-party ad technology business models, (iv) the persistence of performance-driven advertising and user-acquisition strategies, and (v) the potential evolution and integration of artificial-intelligence-driven applications and conversational interfaces (including AI chatbots) into the broader app ecosystem. These assumptions reflect Altman Solon’s judgment as of the date of its analysis; however, they are inherently uncertain and subject to factors beyond Altman Solon’s control.</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Certain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ABOUT FORWARD-LOOKING STATEMENTS</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Forward-looking statements include all statements that are not historical facts. These forward-looking statements are included throughout this Quarterly Report on Form 10-Q, including in the sections entitled “Management’s Discussion and Analysis of Financial Condition and Results of Operations,” and “Quantitative and Qualitative Disclosures About Market Risk.” Forward-looking statements include, but are not limited to, statements about: (1) projections of revenues, expenses, income or loss, earnings or loss per share, cash flow, margins, profitability, capital expenditures, liquidity, capital resources or other financial or operating items; (2) our plans, strategies and objectives, including those relating to our business model, growth strategy, market opportunity, customer retention and expansion, acquisition of new customers, technology innovation, Cortex and AI-related initiatives; (3) future financial or operating performance; (4) our expectations regarding macroeconomic conditions, market trends, competition, regulatory developments, taxes, public company costs, indebtedness, interest rates and other risks affecting our business; (5) our expectations regarding acquisitions, investments, dispositions, financings or other strategic transactions we may pursue; and (6) assumptions underlying any of the foregoing.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Quarterly Report on Form 10-Q. Factors that may cause actual results to differ from expected results include those described in the Company’s filings with the SEC, including those set forth in the “Risk Factors” section in our final prospectus (the “IPO Prospectus”) filed with the SEC on June 4, 2026 pursuant to Rule 424(b)(4) under the Securities Act of 1933 relating to our registration statement on Form S-1 (File No. 333-295144) (the “IPO Registration Statement”).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forward-looking statements contained in this Quarterly Report on Form 10-Q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including, among others, risks related to: our ability to retain existing customers, expand customer usage and attract new customers; the fact that we generally do not have long-term commitments from customers; advertiser demand, marketing budgets, customer churn or consolidation, and broader macroeconomic, market, public health and geopolitical conditions, including inflation, interest rates, tariffs and U.S.-China tensions; our dependence on mobile operating systems, app stores, large internet and technology companies, third-party platforms, cloud infrastructure providers, supply partners and other participants in the mobile advertising ecosystem; competition and rapid changes in technology, industry standards and customer needs; our ability to collect, use, disclose and otherwise process data, and evolving privacy, data protection, information security, consumer protection, advertising, tracking, targeting, protection of minors, AI and other legal and regulatory requirements; fraud, malware, cybersecurity incidents, system failures, service interruptions and other technical or operational disruptions; our ability to maintain and scale our technology, including Cortex and other AI capabilities, and develop and introduce new products and services; changes in app store policies, user opt-in or opt-out choices, ad-blocking technologies and other limitations on mobile advertising; our reliance on the continued growth and health of the mobile app ecosystem, including mobile gaming and the broader app economy; fluctuations in our operating results, revenue concentration, market opportunity estimates and key metrics; international operations, including risks associated with China, trade controls, tariffs, sanctions, anti-corruption laws and foreign currency exchange; our ability to attract, retain and motivate key personnel and sales teams and manage public company costs; acquisitions, investments, partnerships, financings and other strategic transactions; tax matters, accounting standards, estimates, goodwill or other impairment, stock-based compensation and internal controls, including the material weakness identified in our internal control over financial reporting; legal proceedings and intellectual property and open source software matters; ownership concentration and risks related to our common stock, including stock price volatility, future sales and dilution; and our substantial indebtedness, restrictive debt covenants, interest rate exposure, debt service obligations, liquidity and ability to raise additional capital. This list is not exhaustive. For a more detailed discussion of these and other factors, see the “Risk Factors” section in the IPO Prospectus. These factors should not be construed as exhaustive and should be read in conjunction with the other cautionary statements and information included elsewhere in this Quarterly Report on Form 10-Q, including the section titled “Management’s Discussion and Analysis of Financial Condition and Results of Operations.” Should one or more of these risks or uncertainties materialize, or should any of our assumptions prove incorrect, our actual results may vary in material respects from those expressed or implied in these forward-looking statements.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forward-looking statements included in this Quarterly Report on Form 10-Q speak only as of the date of this Quarterly Report on Form 10-Q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Quarterly Report on Form 10-Q to reflect changed assumptions, the occurrence of unanticipated events, or changes to future operating results over time.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left"/>
        <w:rPr>
          <w:rFonts w:ascii="Arial;sans-serif" w:hAnsi="Arial;sans-serif"/>
          <w:b/>
          <w:color w:val="000000"/>
          <w:sz w:val="24"/>
        </w:rPr>
      </w:pPr>
      <w:bookmarkStart w:id="7" w:name="i766cb403c1c84322b4abdbc30c036b96"/>
      <w:bookmarkEnd w:id="7"/>
      <w:r>
        <w:rPr>
          <w:rFonts w:ascii="Arial;sans-serif" w:hAnsi="Arial;sans-serif"/>
          <w:b/>
          <w:color w:val="000000"/>
          <w:sz w:val="24"/>
        </w:rPr>
        <w:t>PART I—FINANCIAL INFORMATION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Arial;sans-serif" w:hAnsi="Arial;sans-serif"/>
          <w:b/>
          <w:color w:val="000000"/>
          <w:sz w:val="24"/>
        </w:rPr>
      </w:pPr>
      <w:bookmarkStart w:id="8" w:name="i68855640154f4d66b14e11ac5d149dd3"/>
      <w:bookmarkEnd w:id="8"/>
      <w:r>
        <w:rPr>
          <w:rFonts w:ascii="Arial;sans-serif" w:hAnsi="Arial;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9" w:name="i8c36fc5c03124325b272b26cb1383509"/>
      <w:bookmarkEnd w:id="9"/>
      <w:r>
        <w:rPr>
          <w:rFonts w:ascii="Arial;sans-serif" w:hAnsi="Arial;sans-serif"/>
          <w:b/>
          <w:color w:val="000000"/>
          <w:sz w:val="24"/>
        </w:rPr>
        <w:t>Condensed Consolidated Balance Sheets</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As of June 30, 2026 and December 31,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9"/>
        <w:gridCol w:w="2042"/>
        <w:gridCol w:w="1972"/>
        <w:gridCol w:w="211"/>
        <w:gridCol w:w="976"/>
        <w:gridCol w:w="109"/>
        <w:gridCol w:w="109"/>
        <w:gridCol w:w="109"/>
        <w:gridCol w:w="109"/>
        <w:gridCol w:w="562"/>
        <w:gridCol w:w="534"/>
        <w:gridCol w:w="406"/>
        <w:gridCol w:w="157"/>
      </w:tblGrid>
      <w:tr>
        <w:trPr/>
        <w:tc>
          <w:tcPr>
            <w:tcW w:w="290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99"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305,398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133,306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366,112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355,277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Income tax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1,651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20,498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26,891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37" w:before="0" w:after="0"/>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Restricted cash</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8"/>
              </w:rPr>
            </w:pPr>
            <w:r>
              <w:rPr>
                <w:rFonts w:ascii="Arial;sans-serif" w:hAnsi="Arial;sans-serif"/>
                <w:b w:val="false"/>
                <w:color w:val="000000"/>
                <w:sz w:val="18"/>
              </w:rPr>
              <w:t>789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Property, equipment, and software, net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128,984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115,968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153,313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178,677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Goodwill</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1,056,302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1,057,180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33,571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31,590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1,901,329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2" w:before="206" w:after="283"/>
              <w:jc w:val="left"/>
              <w:rPr>
                <w:rFonts w:ascii="Arial;sans-serif" w:hAnsi="Arial;sans-serif"/>
                <w:b/>
                <w:color w:val="000000"/>
                <w:sz w:val="18"/>
              </w:rPr>
            </w:pPr>
            <w:r>
              <w:rPr>
                <w:rFonts w:ascii="Arial;sans-serif" w:hAnsi="Arial;sans-serif"/>
                <w:b/>
                <w:color w:val="000000"/>
                <w:sz w:val="18"/>
              </w:rPr>
              <w:t>LIABILITIES, REDEEMABLE CONVERTIBLE PREFERRED STOCK, AND STOCKHOLDERS’ EQUITY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356,519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99,294 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77,216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18,550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29,169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503,214 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481,454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54" w:before="0" w:after="0"/>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1,801,150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126,597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2,438,210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32"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32" w:before="0" w:after="0"/>
              <w:jc w:val="left"/>
              <w:rPr>
                <w:rFonts w:ascii="Arial;sans-serif" w:hAnsi="Arial;sans-serif"/>
                <w:b w:val="false"/>
                <w:color w:val="000000"/>
                <w:sz w:val="18"/>
              </w:rPr>
            </w:pPr>
            <w:r>
              <w:rPr>
                <w:rFonts w:ascii="Arial;sans-serif" w:hAnsi="Arial;sans-serif"/>
                <w:b w:val="false"/>
                <w:color w:val="000000"/>
                <w:sz w:val="18"/>
              </w:rPr>
              <w:t>Redeemable convertible preferred stock: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32" w:before="0" w:after="0"/>
              <w:jc w:val="left"/>
              <w:rPr>
                <w:rFonts w:ascii="Arial;sans-serif" w:hAnsi="Arial;sans-serif"/>
                <w:b w:val="false"/>
                <w:color w:val="000000"/>
                <w:sz w:val="18"/>
              </w:rPr>
            </w:pPr>
            <w:r>
              <w:rPr>
                <w:rFonts w:ascii="Arial;sans-serif" w:hAnsi="Arial;sans-serif"/>
                <w:b w:val="false"/>
                <w:color w:val="000000"/>
                <w:sz w:val="18"/>
              </w:rPr>
              <w:t>Series A redeemable convertible preferred stock ($0.0001 par value – Nil and 1,000,000 shares authorized as of June 30, 2026 and December 31, 2025, respectively; Nil and 425,000 shares issued and outstanding as of June 30, 2026 and December 31, 2025, respectively) Liquidation preference of nil and $425,000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414,607 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Preferred stock ($0.0001 par value - 700,000,000 and nil shares authorized as of June 30, 2026 and December 31, 2025, respectively, no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Common Stock ($0.0001 par value - 7,000,000,000 and 234,000,000 shares authorized as of June 30, 2026 and December 31, 2025, respectively; 169,330,527 and 123,002,518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1" w:before="0" w:after="283"/>
              <w:jc w:val="right"/>
              <w:rPr>
                <w:rFonts w:ascii="Arial;sans-serif" w:hAnsi="Arial;sans-serif"/>
                <w:b w:val="false"/>
                <w:color w:val="000000"/>
                <w:sz w:val="18"/>
              </w:rPr>
            </w:pPr>
            <w:r>
              <w:rPr>
                <w:rFonts w:ascii="Arial;sans-serif" w:hAnsi="Arial;sans-serif"/>
                <w:b w:val="false"/>
                <w:color w:val="000000"/>
                <w:sz w:val="18"/>
              </w:rPr>
              <w:t>(910,871)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(955,971)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8"/>
              </w:rPr>
            </w:pPr>
            <w:r>
              <w:rPr>
                <w:rFonts w:ascii="Arial;sans-serif" w:hAnsi="Arial;sans-serif"/>
                <w:b w:val="false"/>
                <w:color w:val="000000"/>
                <w:sz w:val="18"/>
              </w:rPr>
              <w:t>(5,534)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8"/>
              </w:rPr>
            </w:pPr>
            <w:r>
              <w:rPr>
                <w:rFonts w:ascii="Arial;sans-serif" w:hAnsi="Arial;sans-serif"/>
                <w:b w:val="false"/>
                <w:color w:val="000000"/>
                <w:sz w:val="18"/>
              </w:rPr>
              <w:t>(951,488)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liabilities, redeemable convertible preferred stock,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1,901,329</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0" w:name="ie9a3246b2fc1456a991e9b06b6124f94"/>
      <w:bookmarkEnd w:id="10"/>
      <w:r>
        <w:rPr>
          <w:rFonts w:ascii="Arial;sans-serif" w:hAnsi="Arial;sans-serif"/>
          <w:b/>
          <w:color w:val="000000"/>
          <w:sz w:val="24"/>
        </w:rPr>
        <w:t>Condensed Consolidated Statements of Operations</w:t>
      </w:r>
    </w:p>
    <w:p>
      <w:pPr>
        <w:pStyle w:val="TextBody"/>
        <w:bidi w:val="0"/>
        <w:spacing w:lineRule="auto" w:line="266" w:before="0" w:after="0"/>
        <w:jc w:val="center"/>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p>
      <w:pPr>
        <w:pStyle w:val="TextBody"/>
        <w:bidi w:val="0"/>
        <w:spacing w:lineRule="auto" w:line="266"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66"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7"/>
        <w:gridCol w:w="812"/>
        <w:gridCol w:w="823"/>
        <w:gridCol w:w="314"/>
        <w:gridCol w:w="978"/>
        <w:gridCol w:w="118"/>
        <w:gridCol w:w="118"/>
        <w:gridCol w:w="118"/>
        <w:gridCol w:w="118"/>
        <w:gridCol w:w="326"/>
        <w:gridCol w:w="422"/>
        <w:gridCol w:w="423"/>
        <w:gridCol w:w="109"/>
        <w:gridCol w:w="109"/>
        <w:gridCol w:w="109"/>
        <w:gridCol w:w="109"/>
        <w:gridCol w:w="109"/>
        <w:gridCol w:w="109"/>
        <w:gridCol w:w="391"/>
        <w:gridCol w:w="398"/>
        <w:gridCol w:w="398"/>
        <w:gridCol w:w="131"/>
        <w:gridCol w:w="131"/>
        <w:gridCol w:w="131"/>
        <w:gridCol w:w="391"/>
        <w:gridCol w:w="399"/>
        <w:gridCol w:w="399"/>
        <w:gridCol w:w="109"/>
        <w:gridCol w:w="109"/>
        <w:gridCol w:w="109"/>
        <w:gridCol w:w="109"/>
        <w:gridCol w:w="109"/>
        <w:gridCol w:w="109"/>
        <w:gridCol w:w="161"/>
      </w:tblGrid>
      <w:tr>
        <w:trPr/>
        <w:tc>
          <w:tcPr>
            <w:tcW w:w="139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2" w:before="0" w:after="0"/>
              <w:ind w:left="0" w:right="0" w:firstLine="4"/>
              <w:jc w:val="left"/>
              <w:rPr>
                <w:rFonts w:ascii="Arial;sans-serif" w:hAnsi="Arial;sans-serif"/>
                <w:b w:val="false"/>
                <w:color w:val="000000"/>
                <w:sz w:val="20"/>
              </w:rPr>
            </w:pPr>
            <w:r>
              <w:rPr>
                <w:rFonts w:ascii="Arial;sans-serif" w:hAnsi="Arial;sans-serif"/>
                <w:b w:val="false"/>
                <w:color w:val="000000"/>
                <w:sz w:val="20"/>
              </w:rPr>
              <w:t>Revenue</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219,505 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425,147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operating expenses: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excluding 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57,018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59,834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Total costs and operating expenses</w:t>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142,094 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77,411 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ind w:left="0" w:right="0" w:hanging="5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31F20"/>
                <w:sz w:val="20"/>
              </w:rPr>
            </w:pPr>
            <w:r>
              <w:rPr>
                <w:rFonts w:ascii="Arial;sans-serif" w:hAnsi="Arial;sans-serif"/>
                <w:b w:val="false"/>
                <w:color w:val="231F20"/>
                <w:sz w:val="20"/>
              </w:rPr>
              <w:t>2,675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77,516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88" w:before="28" w:after="283"/>
              <w:ind w:left="0" w:right="0" w:hanging="5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Net income (loss) per share: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Weighted average common shares used to compute net income (loss) per share attributable to common stockholders: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137,076,788 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130,121,241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145,309,595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137,076,788 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143,533,326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145,309,595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pStyle w:val="TextBody"/>
        <w:bidi w:val="0"/>
        <w:spacing w:before="10" w:after="283"/>
        <w:ind w:left="0" w:right="0" w:firstLine="20"/>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1" w:name="if959ac802af64dd09bbb04385116945a"/>
      <w:bookmarkEnd w:id="11"/>
      <w:r>
        <w:rPr>
          <w:rFonts w:ascii="Arial;sans-serif" w:hAnsi="Arial;sans-serif"/>
          <w:b/>
          <w:color w:val="000000"/>
          <w:sz w:val="24"/>
        </w:rPr>
        <w:t>Condensed Consolidated Statements of Comprehensive Income (Loss)</w:t>
      </w:r>
    </w:p>
    <w:p>
      <w:pPr>
        <w:pStyle w:val="TextBody"/>
        <w:bidi w:val="0"/>
        <w:spacing w:lineRule="auto" w:line="266" w:before="0" w:after="0"/>
        <w:jc w:val="center"/>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17"/>
        <w:gridCol w:w="1245"/>
        <w:gridCol w:w="1190"/>
        <w:gridCol w:w="303"/>
        <w:gridCol w:w="998"/>
        <w:gridCol w:w="156"/>
        <w:gridCol w:w="156"/>
        <w:gridCol w:w="156"/>
        <w:gridCol w:w="156"/>
        <w:gridCol w:w="331"/>
        <w:gridCol w:w="395"/>
        <w:gridCol w:w="397"/>
        <w:gridCol w:w="109"/>
        <w:gridCol w:w="109"/>
        <w:gridCol w:w="109"/>
        <w:gridCol w:w="418"/>
        <w:gridCol w:w="345"/>
        <w:gridCol w:w="346"/>
        <w:gridCol w:w="201"/>
        <w:gridCol w:w="201"/>
        <w:gridCol w:w="201"/>
        <w:gridCol w:w="418"/>
        <w:gridCol w:w="346"/>
        <w:gridCol w:w="502"/>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(19,915)</w:t>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9" w:before="15"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Unrealized gain (loss) on cash flow hedging, net of tax</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(8,450)</w:t>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Foreign currency translation, net of tax</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w:t>
            </w:r>
          </w:p>
        </w:tc>
      </w:tr>
      <w:tr>
        <w:trPr/>
        <w:tc>
          <w:tcPr>
            <w:tcW w:w="385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(4,527)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(21,826)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45,096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Arial;sans-serif" w:hAnsi="Arial;sans-serif"/>
                <w:b w:val="false"/>
                <w:color w:val="000000"/>
                <w:sz w:val="20"/>
              </w:rPr>
            </w:pPr>
            <w:r>
              <w:rPr>
                <w:rFonts w:ascii="Arial;sans-serif" w:hAnsi="Arial;sans-serif"/>
                <w:b w:val="false"/>
                <w:color w:val="000000"/>
                <w:sz w:val="20"/>
              </w:rPr>
              <w:t>(23,310)</w:t>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2" w:name="i603d1e4bb22a4d47a7531b76b46dd45b"/>
      <w:bookmarkEnd w:id="12"/>
      <w:r>
        <w:rPr>
          <w:rFonts w:ascii="Arial;sans-serif" w:hAnsi="Arial;sans-serif"/>
          <w:b/>
          <w:color w:val="000000"/>
          <w:sz w:val="24"/>
        </w:rPr>
        <w:t>Condensed Consolidated Statements of Redeemable Convertible Preferred Stock and Stockholders’ Equity (Deficit)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0" w:after="0"/>
        <w:jc w:val="center"/>
        <w:rPr/>
      </w:pPr>
      <w:r>
        <w:rPr/>
      </w:r>
    </w:p>
    <w:tbl>
      <w:tblPr>
        <w:tblW w:w="15168" w:type="dxa"/>
        <w:jc w:val="left"/>
        <w:tblInd w:w="0" w:type="dxa"/>
        <w:tblLayout w:type="fixed"/>
        <w:tblCellMar>
          <w:top w:w="28" w:type="dxa"/>
          <w:left w:w="28" w:type="dxa"/>
          <w:bottom w:w="28" w:type="dxa"/>
          <w:right w:w="28" w:type="dxa"/>
        </w:tblCellMar>
      </w:tblPr>
      <w:tblGrid>
        <w:gridCol w:w="730"/>
        <w:gridCol w:w="325"/>
        <w:gridCol w:w="326"/>
        <w:gridCol w:w="632"/>
        <w:gridCol w:w="209"/>
        <w:gridCol w:w="170"/>
        <w:gridCol w:w="436"/>
        <w:gridCol w:w="606"/>
        <w:gridCol w:w="175"/>
        <w:gridCol w:w="109"/>
        <w:gridCol w:w="109"/>
        <w:gridCol w:w="109"/>
        <w:gridCol w:w="600"/>
        <w:gridCol w:w="601"/>
        <w:gridCol w:w="241"/>
        <w:gridCol w:w="397"/>
        <w:gridCol w:w="204"/>
        <w:gridCol w:w="180"/>
        <w:gridCol w:w="109"/>
        <w:gridCol w:w="109"/>
        <w:gridCol w:w="109"/>
        <w:gridCol w:w="961"/>
        <w:gridCol w:w="109"/>
        <w:gridCol w:w="1471"/>
        <w:gridCol w:w="109"/>
        <w:gridCol w:w="109"/>
        <w:gridCol w:w="109"/>
        <w:gridCol w:w="612"/>
        <w:gridCol w:w="463"/>
        <w:gridCol w:w="318"/>
        <w:gridCol w:w="109"/>
        <w:gridCol w:w="109"/>
        <w:gridCol w:w="109"/>
        <w:gridCol w:w="634"/>
        <w:gridCol w:w="328"/>
        <w:gridCol w:w="329"/>
        <w:gridCol w:w="109"/>
        <w:gridCol w:w="109"/>
        <w:gridCol w:w="109"/>
        <w:gridCol w:w="211"/>
        <w:gridCol w:w="420"/>
        <w:gridCol w:w="421"/>
        <w:gridCol w:w="109"/>
        <w:gridCol w:w="109"/>
        <w:gridCol w:w="109"/>
        <w:gridCol w:w="211"/>
        <w:gridCol w:w="367"/>
        <w:gridCol w:w="519"/>
      </w:tblGrid>
      <w:tr>
        <w:trPr/>
        <w:tc>
          <w:tcPr>
            <w:tcW w:w="7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Series A Redeemable Convertible Preferred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Total Stockholders’ Equity (Deficit)</w:t>
            </w:r>
          </w:p>
        </w:tc>
        <w:tc>
          <w:tcPr>
            <w:tcW w:w="2803" w:type="dxa"/>
            <w:gridSpan w:val="12"/>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6"/>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Shares</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283"/>
              <w:jc w:val="center"/>
              <w:rPr>
                <w:rFonts w:ascii="Arial;sans-serif" w:hAnsi="Arial;sans-serif"/>
                <w:b/>
                <w:color w:val="000000"/>
                <w:sz w:val="18"/>
              </w:rPr>
            </w:pPr>
            <w:r>
              <w:rPr>
                <w:rFonts w:ascii="Arial;sans-serif" w:hAnsi="Arial;sans-serif"/>
                <w:b/>
                <w:color w:val="000000"/>
                <w:sz w:val="18"/>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Arial;sans-serif" w:hAnsi="Arial;sans-serif"/>
                <w:b/>
                <w:color w:val="000000"/>
                <w:sz w:val="18"/>
              </w:rPr>
            </w:pPr>
            <w:r>
              <w:rPr>
                <w:rFonts w:ascii="Arial;sans-serif" w:hAnsi="Arial;sans-serif"/>
                <w:b/>
                <w:color w:val="000000"/>
                <w:sz w:val="18"/>
              </w:rPr>
              <w:t>Balances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414,607</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123,002,518 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(955,971)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(951,488)</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44" w:after="283"/>
              <w:jc w:val="left"/>
              <w:rPr>
                <w:rFonts w:ascii="Arial;sans-serif" w:hAnsi="Arial;sans-serif"/>
                <w:b w:val="false"/>
                <w:color w:val="000000"/>
                <w:sz w:val="18"/>
              </w:rPr>
            </w:pPr>
            <w:r>
              <w:rPr>
                <w:rFonts w:ascii="Arial;sans-serif" w:hAnsi="Arial;sans-serif"/>
                <w:b w:val="false"/>
                <w:color w:val="000000"/>
                <w:sz w:val="18"/>
              </w:rPr>
              <w:t>Issuance of shares from exercise of options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467,087</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2,255</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49,331</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Arial;sans-serif" w:hAnsi="Arial;sans-serif"/>
                <w:b/>
                <w:color w:val="000000"/>
                <w:sz w:val="18"/>
              </w:rPr>
            </w:pPr>
            <w:r>
              <w:rPr>
                <w:rFonts w:ascii="Arial;sans-serif" w:hAnsi="Arial;sans-serif"/>
                <w:b/>
                <w:color w:val="000000"/>
                <w:sz w:val="18"/>
              </w:rPr>
              <w:t>Balances at March 31,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425,000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414,607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123,469,605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13,447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(906,640)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(894,285)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24,135</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44"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initial public offering, net of underwriting discounts and commissions and offering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454,544</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Convertible Preferred Stock to Common Stock in connection with initial public offering</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(425,000)</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(414,607)</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24,011,299 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414,607</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(4,231)</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Balances at June 30,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169,330,527</w:t>
            </w: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3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906,720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(1,400)</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(910,871)</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(5,534)</w:t>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3" w:name="i29e265472f3a498cb3cb7a6310097796"/>
      <w:bookmarkEnd w:id="13"/>
      <w:r>
        <w:rPr>
          <w:rFonts w:ascii="Arial;sans-serif" w:hAnsi="Arial;sans-serif"/>
          <w:b/>
          <w:color w:val="000000"/>
          <w:sz w:val="24"/>
        </w:rPr>
        <w:t>Condensed Consolidated Statements of Redeemable Convertible Preferred Stock and Stockholders’ Equity (Deficit)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0" w:after="0"/>
        <w:jc w:val="center"/>
        <w:rPr/>
      </w:pPr>
      <w:r>
        <w:rPr/>
      </w:r>
    </w:p>
    <w:tbl>
      <w:tblPr>
        <w:tblW w:w="14705" w:type="dxa"/>
        <w:jc w:val="center"/>
        <w:tblInd w:w="0" w:type="dxa"/>
        <w:tblLayout w:type="fixed"/>
        <w:tblCellMar>
          <w:top w:w="28" w:type="dxa"/>
          <w:left w:w="28" w:type="dxa"/>
          <w:bottom w:w="28" w:type="dxa"/>
          <w:right w:w="28" w:type="dxa"/>
        </w:tblCellMar>
      </w:tblPr>
      <w:tblGrid>
        <w:gridCol w:w="730"/>
        <w:gridCol w:w="325"/>
        <w:gridCol w:w="326"/>
        <w:gridCol w:w="441"/>
        <w:gridCol w:w="170"/>
        <w:gridCol w:w="170"/>
        <w:gridCol w:w="436"/>
        <w:gridCol w:w="606"/>
        <w:gridCol w:w="175"/>
        <w:gridCol w:w="109"/>
        <w:gridCol w:w="109"/>
        <w:gridCol w:w="109"/>
        <w:gridCol w:w="593"/>
        <w:gridCol w:w="593"/>
        <w:gridCol w:w="241"/>
        <w:gridCol w:w="397"/>
        <w:gridCol w:w="204"/>
        <w:gridCol w:w="180"/>
        <w:gridCol w:w="109"/>
        <w:gridCol w:w="109"/>
        <w:gridCol w:w="109"/>
        <w:gridCol w:w="961"/>
        <w:gridCol w:w="109"/>
        <w:gridCol w:w="1471"/>
        <w:gridCol w:w="109"/>
        <w:gridCol w:w="612"/>
        <w:gridCol w:w="463"/>
        <w:gridCol w:w="318"/>
        <w:gridCol w:w="109"/>
        <w:gridCol w:w="109"/>
        <w:gridCol w:w="109"/>
        <w:gridCol w:w="634"/>
        <w:gridCol w:w="328"/>
        <w:gridCol w:w="329"/>
        <w:gridCol w:w="109"/>
        <w:gridCol w:w="109"/>
        <w:gridCol w:w="109"/>
        <w:gridCol w:w="211"/>
        <w:gridCol w:w="420"/>
        <w:gridCol w:w="421"/>
        <w:gridCol w:w="109"/>
        <w:gridCol w:w="109"/>
        <w:gridCol w:w="109"/>
        <w:gridCol w:w="211"/>
        <w:gridCol w:w="367"/>
        <w:gridCol w:w="519"/>
      </w:tblGrid>
      <w:tr>
        <w:trPr/>
        <w:tc>
          <w:tcPr>
            <w:tcW w:w="7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Series A Redeemable Convertible Preferred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Accumulated Other 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Stockholders’ Deficit</w:t>
            </w:r>
          </w:p>
        </w:tc>
        <w:tc>
          <w:tcPr>
            <w:tcW w:w="2803" w:type="dxa"/>
            <w:gridSpan w:val="12"/>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Shares</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30" w:before="0" w:after="0"/>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Balances at December 31, 2024</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145,266,333 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(185,197)</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2,321</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44" w:after="283"/>
              <w:jc w:val="left"/>
              <w:rPr>
                <w:rFonts w:ascii="Arial;sans-serif" w:hAnsi="Arial;sans-serif"/>
                <w:b w:val="false"/>
                <w:color w:val="000000"/>
                <w:sz w:val="18"/>
              </w:rPr>
            </w:pPr>
            <w:r>
              <w:rPr>
                <w:rFonts w:ascii="Arial;sans-serif" w:hAnsi="Arial;sans-serif"/>
                <w:b w:val="false"/>
                <w:color w:val="000000"/>
                <w:sz w:val="18"/>
              </w:rPr>
              <w:t>Issuance of shares from exercise of options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193,807</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(5,352)</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3,868</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Balances at March 31, 2025</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145,460,140</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187,702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(371,720)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(183,440)</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44" w:after="283"/>
              <w:jc w:val="left"/>
              <w:rPr>
                <w:rFonts w:ascii="Arial;sans-serif" w:hAnsi="Arial;sans-serif"/>
                <w:b w:val="false"/>
                <w:color w:val="000000"/>
                <w:sz w:val="18"/>
              </w:rPr>
            </w:pPr>
            <w:r>
              <w:rPr>
                <w:rFonts w:ascii="Arial;sans-serif" w:hAnsi="Arial;sans-serif"/>
                <w:b w:val="false"/>
                <w:color w:val="000000"/>
                <w:sz w:val="18"/>
              </w:rPr>
              <w:t>Issuance of shares from exercise of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73,798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retirement of common stock</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(22,688,286)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(388,172)</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vested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(20,961)</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Issuance of preferred stock </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425,000</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414,607</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1,957</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(23,783)</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Balances at June 30, 2025</w:t>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425,000</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414,607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122,845,652</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2,521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(614,274)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(611,741)</w:t>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4" w:name="i757b6e4058fe4afdb73447355391995b"/>
      <w:bookmarkEnd w:id="14"/>
      <w:r>
        <w:rPr>
          <w:rFonts w:ascii="Arial;sans-serif" w:hAnsi="Arial;sans-serif"/>
          <w:b/>
          <w:color w:val="000000"/>
          <w:sz w:val="24"/>
        </w:rPr>
        <w:t>Condensed Consolidated Statements of Cash Flows</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For the Six Months Ended June 30, 2026 and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2329"/>
        <w:gridCol w:w="1937"/>
        <w:gridCol w:w="1948"/>
        <w:gridCol w:w="109"/>
        <w:gridCol w:w="371"/>
        <w:gridCol w:w="371"/>
        <w:gridCol w:w="718"/>
        <w:gridCol w:w="447"/>
        <w:gridCol w:w="425"/>
        <w:gridCol w:w="109"/>
        <w:gridCol w:w="109"/>
        <w:gridCol w:w="109"/>
        <w:gridCol w:w="258"/>
        <w:gridCol w:w="401"/>
        <w:gridCol w:w="405"/>
        <w:gridCol w:w="159"/>
      </w:tblGrid>
      <w:tr>
        <w:trPr/>
        <w:tc>
          <w:tcPr>
            <w:tcW w:w="232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4"/>
            <w:tcBorders/>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50,672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Deferred income tax</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Change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and capitalization of property,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issuance of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409,545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post-conversion earnout share liability </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initial public offering, net of underwriting discounts and commissions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(383,389)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Payment of debt principal</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Effect of exchange rate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64" w:before="31"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78,882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177,970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5" w:name="id02ea13186e84e6ab7c0f8ef5c4df868"/>
      <w:bookmarkEnd w:id="15"/>
      <w:r>
        <w:rPr>
          <w:rFonts w:ascii="Arial;sans-serif" w:hAnsi="Arial;sans-serif"/>
          <w:b/>
          <w:color w:val="000000"/>
          <w:sz w:val="24"/>
        </w:rPr>
        <w:t>Condensed Consolidated Statements of Cash Flows (continued)</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For the Six Months Ended June 30, 2026 and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63"/>
        <w:gridCol w:w="2111"/>
        <w:gridCol w:w="2116"/>
        <w:gridCol w:w="109"/>
        <w:gridCol w:w="262"/>
        <w:gridCol w:w="262"/>
        <w:gridCol w:w="506"/>
        <w:gridCol w:w="447"/>
        <w:gridCol w:w="390"/>
        <w:gridCol w:w="109"/>
        <w:gridCol w:w="109"/>
        <w:gridCol w:w="109"/>
        <w:gridCol w:w="258"/>
        <w:gridCol w:w="395"/>
        <w:gridCol w:w="401"/>
        <w:gridCol w:w="158"/>
      </w:tblGrid>
      <w:tr>
        <w:trPr/>
        <w:tc>
          <w:tcPr>
            <w:tcW w:w="2463"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4"/>
            <w:tcBorders/>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64" w:before="106" w:after="283"/>
              <w:jc w:val="left"/>
              <w:rPr>
                <w:rFonts w:ascii="Arial;sans-serif" w:hAnsi="Arial;sans-serif"/>
                <w:b/>
                <w:color w:val="000000"/>
                <w:sz w:val="20"/>
              </w:rPr>
            </w:pPr>
            <w:r>
              <w:rPr>
                <w:rFonts w:ascii="Arial;sans-serif" w:hAnsi="Arial;sans-serif"/>
                <w:b/>
                <w:color w:val="000000"/>
                <w:sz w:val="20"/>
              </w:rPr>
              <w:t>Components of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177,181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7"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177,970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Cash paid for income taxes, net of income tax refunds received</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color w:val="000000"/>
                <w:sz w:val="20"/>
              </w:rPr>
            </w:pPr>
            <w:r>
              <w:rPr>
                <w:rFonts w:ascii="Arial;sans-serif" w:hAnsi="Arial;sans-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283"/>
              <w:jc w:val="left"/>
              <w:rPr>
                <w:rFonts w:ascii="Arial;sans-serif" w:hAnsi="Arial;sans-serif"/>
                <w:b w:val="false"/>
                <w:color w:val="000000"/>
                <w:sz w:val="20"/>
              </w:rPr>
            </w:pPr>
            <w:r>
              <w:rPr>
                <w:rFonts w:ascii="Arial;sans-serif" w:hAnsi="Arial;sans-serif"/>
                <w:b w:val="false"/>
                <w:color w:val="000000"/>
                <w:sz w:val="20"/>
              </w:rPr>
              <w:t>Conversion of Series A Redeemable Convertible Preferred Stock to common stock upon initial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Right-of-use assets obtained in exchange for operating lease liabilities, net of modifications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283"/>
              <w:jc w:val="left"/>
              <w:rPr>
                <w:rFonts w:ascii="Arial;sans-serif" w:hAnsi="Arial;sans-serif"/>
                <w:b w:val="false"/>
                <w:color w:val="000000"/>
                <w:sz w:val="20"/>
              </w:rPr>
            </w:pPr>
            <w:r>
              <w:rPr>
                <w:rFonts w:ascii="Arial;sans-serif" w:hAnsi="Arial;sans-serif"/>
                <w:b w:val="false"/>
                <w:color w:val="000000"/>
                <w:sz w:val="20"/>
              </w:rPr>
              <w:t>Amounts related to issuance of preferred stock and repurchase of common stock and vested stock-based compensation awards, received and paid through escrow</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Unpaid deferred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2" w:before="0" w:after="283"/>
              <w:jc w:val="left"/>
              <w:rPr>
                <w:rFonts w:ascii="Arial;sans-serif" w:hAnsi="Arial;sans-serif"/>
                <w:b w:val="false"/>
                <w:color w:val="000000"/>
                <w:sz w:val="20"/>
              </w:rPr>
            </w:pPr>
            <w:r>
              <w:rPr>
                <w:rFonts w:ascii="Arial;sans-serif" w:hAnsi="Arial;sans-serif"/>
                <w:b w:val="false"/>
                <w:color w:val="000000"/>
                <w:sz w:val="20"/>
              </w:rPr>
              <w:t>Unpaid property and equipment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2" w:before="0" w:after="283"/>
              <w:jc w:val="left"/>
              <w:rPr>
                <w:rFonts w:ascii="Arial;sans-serif" w:hAnsi="Arial;sans-serif"/>
                <w:b w:val="false"/>
                <w:color w:val="000000"/>
                <w:sz w:val="20"/>
              </w:rPr>
            </w:pPr>
            <w:r>
              <w:rPr>
                <w:rFonts w:ascii="Arial;sans-serif" w:hAnsi="Arial;sans-serif"/>
                <w:b w:val="false"/>
                <w:color w:val="000000"/>
                <w:sz w:val="20"/>
              </w:rPr>
              <w:t>Unpaid repurchase of vested options and SARs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20,897</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center"/>
        <w:rPr>
          <w:rFonts w:ascii="Arial;sans-serif" w:hAnsi="Arial;sans-serif"/>
          <w:b w:val="false"/>
          <w:i/>
          <w:color w:val="000000"/>
          <w:sz w:val="18"/>
        </w:rPr>
      </w:pPr>
      <w:r>
        <w:rPr>
          <w:rFonts w:ascii="Arial;sans-serif" w:hAnsi="Arial;sans-serif"/>
          <w:b w:val="false"/>
          <w:i/>
          <w:color w:val="000000"/>
          <w:sz w:val="18"/>
        </w:rPr>
        <w:t>See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bookmarkStart w:id="16" w:name="ic8d54ea8147e4468889c2e84575d31f3"/>
      <w:bookmarkEnd w:id="16"/>
      <w:r>
        <w:rPr>
          <w:rFonts w:ascii="Arial;sans-serif" w:hAnsi="Arial;sans-serif"/>
          <w:b/>
          <w:color w:val="000000"/>
          <w:sz w:val="24"/>
        </w:rPr>
        <w:t xml:space="preserve">Notes to the Condensed Consolidated Financial Statements </w:t>
      </w:r>
    </w:p>
    <w:p>
      <w:pPr>
        <w:pStyle w:val="TextBody"/>
        <w:bidi w:val="0"/>
        <w:spacing w:lineRule="auto" w:line="288" w:before="1" w:after="12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1" w:after="283"/>
        <w:ind w:left="0" w:right="0" w:hanging="360"/>
        <w:jc w:val="left"/>
        <w:rPr>
          <w:color w:val="000000"/>
        </w:rPr>
      </w:pPr>
      <w:bookmarkStart w:id="17" w:name="ie8fc71817e354252b94ae3445b7cacbb"/>
      <w:bookmarkEnd w:id="17"/>
      <w:r>
        <w:rPr>
          <w:color w:val="000000"/>
        </w:rPr>
        <w:t> </w:t>
      </w:r>
      <w:r>
        <w:rPr>
          <w:rFonts w:ascii="Arial;sans-serif" w:hAnsi="Arial;sans-serif"/>
          <w:b/>
          <w:color w:val="000000"/>
          <w:sz w:val="20"/>
        </w:rPr>
        <w:t xml:space="preserve">1. Description of Business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Liftoff Mobile, Inc. (collectively referred to with its wholly owned subsidiaries as the “Company” or “Liftoff”) was incorporated in the state of Delaware and is headquartered in Redwood City, California, with offices in the U.S. as well as internationally in Europe and Asia. Liftoff is an independent mobile growth enablement platform, offering solutions that cover the entire app growth cycle.</w:t>
      </w:r>
    </w:p>
    <w:p>
      <w:pPr>
        <w:pStyle w:val="TextBody"/>
        <w:bidi w:val="0"/>
        <w:spacing w:before="120" w:after="283"/>
        <w:ind w:left="0" w:right="0" w:firstLine="720"/>
        <w:jc w:val="left"/>
        <w:rPr/>
      </w:pPr>
      <w:r>
        <w:rPr/>
      </w:r>
    </w:p>
    <w:p>
      <w:pPr>
        <w:pStyle w:val="TextBody"/>
        <w:bidi w:val="0"/>
        <w:spacing w:lineRule="auto" w:line="268" w:before="120" w:after="283"/>
        <w:ind w:left="0" w:right="0" w:firstLine="720"/>
        <w:jc w:val="left"/>
        <w:rPr>
          <w:rFonts w:ascii="Arial;sans-serif" w:hAnsi="Arial;sans-serif"/>
          <w:b/>
          <w:i/>
          <w:color w:val="000000"/>
          <w:sz w:val="20"/>
        </w:rPr>
      </w:pPr>
      <w:r>
        <w:rPr>
          <w:rFonts w:ascii="Arial;sans-serif" w:hAnsi="Arial;sans-serif"/>
          <w:b/>
          <w:i/>
          <w:color w:val="000000"/>
          <w:sz w:val="20"/>
        </w:rPr>
        <w:t xml:space="preserve">Initial Public Offering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Company’s registration statement on Form S-1 (the “IPO Registration Statement”) related to its initial public offering (“IPO”) was declared effective on June 3, 2026, and the Company’s common stock began trading on the Nasdaq Global Select Market on June 4, 2026. On June 5, 2026, the Company completed its IPO, in which it issued and sold 21.9 million shares of common stock, including 2.9 million shares of common stock pursuant to the underwriters’ exercise in full of their over-allotment option, at a public offering price of $23.00 per share. The Company received net proceeds of approximately $472.4 million after deducting underwriting discounts and commissions and before offering expenses. The Company used the proceeds to repay outstanding indebtedness totaling $409.2 million in aggregate principal amount, and intends to use the remainder for general corporate purposes and to cover all of the expenses of the IPO. Refer to Note 4. Credit Agreements for additional details on the debt repayment.</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Upon the effectiveness of the IPO registration statement, certain stock-based awards with performance-based vesting conditions tied to the IPO became probable of vesting, resulting in the recognition of stock-based compensation expense during the period in which the IPO occurred. Refer to Note 8. Stock-based Compensation for additional details.</w:t>
      </w:r>
    </w:p>
    <w:p>
      <w:pPr>
        <w:pStyle w:val="TextBody"/>
        <w:bidi w:val="0"/>
        <w:spacing w:before="0" w:after="0"/>
        <w:ind w:left="0" w:right="0" w:firstLine="720"/>
        <w:jc w:val="left"/>
        <w:rPr/>
      </w:pPr>
      <w:r>
        <w:rPr/>
      </w:r>
    </w:p>
    <w:p>
      <w:pPr>
        <w:pStyle w:val="TextBody"/>
        <w:bidi w:val="0"/>
        <w:spacing w:lineRule="auto" w:line="288" w:before="120" w:after="283"/>
        <w:ind w:left="0" w:right="0" w:firstLine="720"/>
        <w:jc w:val="left"/>
        <w:rPr>
          <w:rFonts w:ascii="Arial;sans-serif" w:hAnsi="Arial;sans-serif"/>
          <w:b/>
          <w:i/>
          <w:color w:val="000000"/>
          <w:sz w:val="20"/>
        </w:rPr>
      </w:pPr>
      <w:r>
        <w:rPr>
          <w:rFonts w:ascii="Arial;sans-serif" w:hAnsi="Arial;sans-serif"/>
          <w:b/>
          <w:i/>
          <w:color w:val="000000"/>
          <w:sz w:val="20"/>
        </w:rPr>
        <w:t>Reclassification and Stock Split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June 3, 2026, following the effectiveness of the IPO Registration Statement, the Company amended its certificate of incorporation to (i) reclassify all outstanding shares of Class A and Class B common stock into a single class of common stock (the “Reclassification”) and (ii) effect a 1.3-for-1 forward stock split of such single class of common stock (the “Stock Split”). As a result of the Stock Split, every share of issued and outstanding common stock was converted into 1.3 issued and outstanding shares of common stock, without any change in par value per share. Accordingly, an amount equal to the par value of the increased common shares resulting from the Stock Split was reclassified from capital in excess of par value to common stock. The Reclassification and Stock Split affected all shares of common stock outstanding immediately prior to the effectiveness of the Reclassification and Stock Split, as well as the number of shares of common stock authorized and available for issuance under the equity incentive plan which was in place prior to the IPO. In addition, the Stock Split resulted in an increase in the number of stock options, stock appreciation rights, and restricted stock units that were outstanding immediately prior to the effectiveness of the Stock Split, with a corresponding adjustment to the exercise price where applicable. No fractional shares were issued because of the Stock Split. Holders who would otherwise be entitled to receive a fractional share or equity award will receive a cash payment in lieu thereof. All common share and per common share amounts, including dividend per share amounts, in these condensed consolidated financial statements and notes thereto have been retroactively adjusted for all periods presented to give effect to the Reclassification and Stock Split.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Reclassification and Stock Split did not change (i) the total number of preferred shares authorized, issued, and outstanding, or (ii) the aggregate liquidation preference of the Preferred Stock (defined in Note 2. Summary of Significant Accounting Policies). The conversion rate and the conversion price used to determine the number of shares of common stock issuable upon the conversion of Preferred Stock have been retroactively adjusted to reflect the Stock Split.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360"/>
        <w:jc w:val="left"/>
        <w:rPr>
          <w:color w:val="000000"/>
        </w:rPr>
      </w:pPr>
      <w:bookmarkStart w:id="18" w:name="ibb18720cfc3d4bfd89f0641d819d9ea2"/>
      <w:bookmarkEnd w:id="18"/>
      <w:r>
        <w:rPr>
          <w:color w:val="000000"/>
        </w:rPr>
        <w:t> </w:t>
      </w:r>
      <w:r>
        <w:rPr>
          <w:rFonts w:ascii="Arial;sans-serif" w:hAnsi="Arial;sans-serif"/>
          <w:b/>
          <w:color w:val="000000"/>
          <w:sz w:val="20"/>
        </w:rPr>
        <w:t>2. Summary of Significant Accounting Policies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color w:val="000000"/>
          <w:sz w:val="20"/>
        </w:rPr>
        <w:t>Basis of Presentation and Principles of Consolidation</w:t>
      </w:r>
      <w:r>
        <w:rPr>
          <w:color w:val="000000"/>
        </w:rPr>
        <w:t>—</w:t>
      </w: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of America (“GAAP”) and applicable rules and regulations of the U.S. Securities and Exchange Commission (the “SEC”) regarding interim financial information. The accompanying unaudited condensed consolidated financial statements include the accounts of the Company and its wholly owned subsidiaries. All intercompany balances and transactions have been eliminated in consolidation. Certain information and footnote disclosures normally included in the financial statements prepared in accordance with GAAP have been condensed or omitted pursuant to such rules and regulations. Accordingly, the unaudited condensed consolidated financial statements should be read in conjunction with the audited consolidated financial statements and notes set forth in our final prospectus (the “IPO Prospectus”) filed with the SEC on June 4, 2026 pursuant to Rule 424(b)(4) under the Securities Act of 1933, as amended, relating to our IPO Registration Statement. In the opinion of management, all adjustments, which include normal recurring adjustments necessary for a fair presentation, have been included. The results of operations for the periods presented are not necessarily indicative of the results to be expected for the full year or other periods. Certain amounts have been calculated using actual, non-rounded figures; accordingly certain amounts and percentages may not recalculate precisely.</w:t>
      </w:r>
    </w:p>
    <w:p>
      <w:pPr>
        <w:pStyle w:val="TextBody"/>
        <w:bidi w:val="0"/>
        <w:spacing w:lineRule="auto" w:line="288" w:before="120" w:after="283"/>
        <w:ind w:left="0" w:right="0" w:firstLine="720"/>
        <w:jc w:val="left"/>
        <w:rPr/>
      </w:pPr>
      <w:r>
        <w:rPr>
          <w:rFonts w:ascii="Arial;sans-serif" w:hAnsi="Arial;sans-serif"/>
          <w:b/>
          <w:color w:val="000000"/>
          <w:sz w:val="20"/>
        </w:rPr>
        <w:t>Use of Estimates</w:t>
      </w:r>
      <w:r>
        <w:rPr>
          <w:color w:val="000000"/>
        </w:rPr>
        <w:t>—</w:t>
      </w:r>
      <w:r>
        <w:rPr>
          <w:rFonts w:ascii="Arial;sans-serif" w:hAnsi="Arial;sans-serif"/>
          <w:b w:val="false"/>
          <w:color w:val="000000"/>
          <w:sz w:val="20"/>
        </w:rPr>
        <w:t>The preparation of condensed consolidated financial statements in conformity with GAAP requires management to make estimates and assumptions that affect the amounts reported and disclosed in the condensed consolidated financial statements and accompanying notes. On an ongoing basis, the Company evaluates these estimates including, but not limited to, useful lives of long-lived assets, goodwill impairment, the allowance for sales rebates and incentives, deferred tax assets and liabilities and income taxes, capitalization of internal-use software, contingent consideration, redeemable convertible preferred stock, valuation of derivative instruments, valuation and recognition of stock-based compensation expense, and the estimate of the fair value of common stock prior to the IPO. These estimates are inherently subject to judgment and actual results could differ materially from those estimates.</w:t>
      </w:r>
    </w:p>
    <w:p>
      <w:pPr>
        <w:pStyle w:val="TextBody"/>
        <w:bidi w:val="0"/>
        <w:spacing w:lineRule="auto" w:line="288" w:before="120" w:after="283"/>
        <w:ind w:left="0" w:right="0" w:firstLine="720"/>
        <w:jc w:val="left"/>
        <w:rPr/>
      </w:pPr>
      <w:r>
        <w:rPr>
          <w:rFonts w:ascii="Arial;sans-serif" w:hAnsi="Arial;sans-serif"/>
          <w:b/>
          <w:color w:val="000000"/>
          <w:sz w:val="20"/>
        </w:rPr>
        <w:t>Revenue Recognition</w:t>
      </w:r>
      <w:r>
        <w:rPr>
          <w:color w:val="000000"/>
        </w:rPr>
        <w:t>—</w:t>
      </w:r>
      <w:r>
        <w:rPr>
          <w:rFonts w:ascii="Arial;sans-serif" w:hAnsi="Arial;sans-serif"/>
          <w:b w:val="false"/>
          <w:color w:val="000000"/>
          <w:sz w:val="20"/>
        </w:rPr>
        <w:t xml:space="preserve">In accordance with ASC 606, </w:t>
      </w:r>
      <w:r>
        <w:rPr>
          <w:rFonts w:ascii="Arial;sans-serif" w:hAnsi="Arial;sans-serif"/>
          <w:b w:val="false"/>
          <w:i/>
          <w:color w:val="000000"/>
          <w:sz w:val="20"/>
        </w:rPr>
        <w:t>Revenue from Contracts with Customers</w:t>
      </w:r>
      <w:r>
        <w:rPr>
          <w:rFonts w:ascii="Arial;sans-serif" w:hAnsi="Arial;sans-serif"/>
          <w:b w:val="false"/>
          <w:color w:val="000000"/>
          <w:sz w:val="20"/>
        </w:rPr>
        <w:t>, revenue is recognized when control of the service is transferred to the customer. The amount of revenue recognized reflects the consideration that the Company expects to be entitled to in exchange for these services.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To achieve the core principle of this standard, the Company determines revenue recognition by:</w:t>
      </w:r>
    </w:p>
    <w:p>
      <w:pPr>
        <w:pStyle w:val="TextBody"/>
        <w:bidi w:val="0"/>
        <w:spacing w:lineRule="auto" w:line="288" w:before="120" w:after="283"/>
        <w:ind w:left="0" w:right="0" w:firstLine="720"/>
        <w:jc w:val="left"/>
        <w:rPr/>
      </w:pPr>
      <w:r>
        <w:rPr>
          <w:color w:val="000000"/>
        </w:rPr>
        <w:t>•</w:t>
      </w:r>
      <w:r>
        <w:rPr>
          <w:rFonts w:ascii="Arial;sans-serif" w:hAnsi="Arial;sans-serif"/>
          <w:b w:val="false"/>
          <w:color w:val="000000"/>
          <w:sz w:val="20"/>
        </w:rPr>
        <w:t>Identification of a contract with a customer;</w:t>
      </w:r>
    </w:p>
    <w:p>
      <w:pPr>
        <w:pStyle w:val="TextBody"/>
        <w:bidi w:val="0"/>
        <w:spacing w:lineRule="auto" w:line="288" w:before="120" w:after="283"/>
        <w:ind w:left="0" w:right="0" w:firstLine="720"/>
        <w:jc w:val="left"/>
        <w:rPr/>
      </w:pPr>
      <w:r>
        <w:rPr>
          <w:color w:val="000000"/>
        </w:rPr>
        <w:t>•</w:t>
      </w:r>
      <w:r>
        <w:rPr>
          <w:rFonts w:ascii="Arial;sans-serif" w:hAnsi="Arial;sans-serif"/>
          <w:b w:val="false"/>
          <w:color w:val="000000"/>
          <w:sz w:val="20"/>
        </w:rPr>
        <w:t>Identification of the performance obligations in the contract;</w:t>
      </w:r>
    </w:p>
    <w:p>
      <w:pPr>
        <w:pStyle w:val="TextBody"/>
        <w:bidi w:val="0"/>
        <w:spacing w:lineRule="auto" w:line="288" w:before="120" w:after="283"/>
        <w:ind w:left="0" w:right="0" w:firstLine="720"/>
        <w:jc w:val="left"/>
        <w:rPr/>
      </w:pPr>
      <w:r>
        <w:rPr>
          <w:color w:val="000000"/>
        </w:rPr>
        <w:t>•</w:t>
      </w:r>
      <w:r>
        <w:rPr>
          <w:rFonts w:ascii="Arial;sans-serif" w:hAnsi="Arial;sans-serif"/>
          <w:b w:val="false"/>
          <w:color w:val="000000"/>
          <w:sz w:val="20"/>
        </w:rPr>
        <w:t>Determination of the transaction price;</w:t>
      </w:r>
    </w:p>
    <w:p>
      <w:pPr>
        <w:pStyle w:val="TextBody"/>
        <w:bidi w:val="0"/>
        <w:spacing w:lineRule="auto" w:line="288" w:before="120" w:after="283"/>
        <w:ind w:left="0" w:right="0" w:firstLine="720"/>
        <w:jc w:val="left"/>
        <w:rPr/>
      </w:pPr>
      <w:r>
        <w:rPr>
          <w:color w:val="000000"/>
        </w:rPr>
        <w:t>•</w:t>
      </w:r>
      <w:r>
        <w:rPr>
          <w:rFonts w:ascii="Arial;sans-serif" w:hAnsi="Arial;sans-serif"/>
          <w:b w:val="false"/>
          <w:color w:val="000000"/>
          <w:sz w:val="20"/>
        </w:rPr>
        <w:t>Allocation of the transaction price to the performance obligations in the contract; and</w:t>
      </w:r>
    </w:p>
    <w:p>
      <w:pPr>
        <w:pStyle w:val="TextBody"/>
        <w:bidi w:val="0"/>
        <w:spacing w:lineRule="auto" w:line="288" w:before="120" w:after="283"/>
        <w:ind w:left="0" w:right="0" w:firstLine="720"/>
        <w:jc w:val="left"/>
        <w:rPr/>
      </w:pPr>
      <w:r>
        <w:rPr>
          <w:color w:val="000000"/>
        </w:rPr>
        <w:t>•</w:t>
      </w:r>
      <w:r>
        <w:rPr>
          <w:rFonts w:ascii="Arial;sans-serif" w:hAnsi="Arial;sans-serif"/>
          <w:b w:val="false"/>
          <w:color w:val="000000"/>
          <w:sz w:val="20"/>
        </w:rPr>
        <w:t>Recognition of revenue when or as the performance obligations are satisfied.</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generates revenue by facilitating advertiser’s purchase of ad inventory from publishers. The Company’s platform provides bidding and matching solutions that facilitate the placements of advertisers’ ads into publisher-owned ad inventory. The Company contracts with advertisers whose arrangements are governed by the Company’s terms and conditions, which generally stipulate payment terms of 30 days following the end of the month in which the services are invoiced. Substantially all of the Company’s contracts with customers have contractual terms of less than one year and are fully cancellable at any time or upon a short notice.</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performance obligation is to provide customers access to the platform to facilitate the advertiser’s purchase of ad inventory from publishers. The Company considers advertisers as customers. The determination of whether revenue should be reported on a gross or net basis is based on an assessment of whether the Company is acting as a principal or an agent in the transaction.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does not control the ad inventory, because the Company does not have the substantive ability to direct the use of, nor obtain substantially all of the remaining benefits from, ad inventory. The Company also is not primarily responsible for fulfillment, as the publisher is ultimately responsible for the acceptability of the ad inventory. Accordingly, the Company has determined that it acts as an agent in the purchase and sale of digital ad inventory and reports revenue on a net basis.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transaction price is comprised of variable consideration that is a factor of the number of completions of agreed upon actions, such as user installations and impressions, or advertisements displayed and the contractually agreed upon price per advertising unit with the customers, less consideration payable to publishers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or third parties providing access to publisher-owned ad inventory. The number of advertisements delivered and completions of agreed upon actions is determined at the end of each month, which resolves any uncertainty in the transaction price during the reporting period. The Company recognizes revenue at a point in time when the agreed upon action is completed or when the ad is displayed to a user. The Company also generates revenue from non-advertising offerings that is recognized ratably over the subscription period of generally up to twelve months. Revenue from non-advertising offerings was not material.</w:t>
      </w:r>
    </w:p>
    <w:p>
      <w:pPr>
        <w:pStyle w:val="TextBody"/>
        <w:bidi w:val="0"/>
        <w:spacing w:lineRule="auto" w:line="288" w:before="117" w:after="283"/>
        <w:ind w:left="0" w:right="0" w:firstLine="720"/>
        <w:jc w:val="left"/>
        <w:rPr>
          <w:rFonts w:ascii="Arial;sans-serif" w:hAnsi="Arial;sans-serif"/>
          <w:b w:val="false"/>
          <w:color w:val="000000"/>
          <w:sz w:val="20"/>
        </w:rPr>
      </w:pPr>
      <w:r>
        <w:rPr>
          <w:rFonts w:ascii="Arial;sans-serif" w:hAnsi="Arial;sans-serif"/>
          <w:b w:val="false"/>
          <w:color w:val="000000"/>
          <w:sz w:val="20"/>
        </w:rPr>
        <w:t>Contract assets consist of unbilled receivables that are recorded for contracts with performance obligations that have been satisfied but have not yet been billed. The current portion of contract assets is included in prepaid expenses and other current assets and the long-term portion is included in other assets on the condensed consolidated balance sheets. The Company had contract assets of $18.1 million and $18.5 million as of June 30, 2026, and December 31, 2025, respectively. Contract liabilities consist of deferred revenue and customer deposits. Deferred revenue is recorded when cash payments are received or due in advance of the Company’s satisfaction of its performance obligation. Customer deposits represent refundable amounts prepaid by customers which the Company does not extend credit to. The Company had deferred revenue of $1.4 million and $1.8 million as of June 30, 2026 and December 31, 2025, respectively, and customer deposits of $2.1 million and $2.2 million as of June 30, 2026 and December 31, 2025, respectively. Deferred revenue and customer deposits are included in other current liabilities on the condensed consolidated balance sheets. During the six months ended June 30, 2026 and 2025, the Company recognized $1.3 million and $1.5 million of revenue that was included in deferred revenue as of December 31, 2025 and 2024, respectively.</w:t>
      </w:r>
    </w:p>
    <w:p>
      <w:pPr>
        <w:pStyle w:val="TextBody"/>
        <w:bidi w:val="0"/>
        <w:spacing w:lineRule="auto" w:line="288" w:before="117" w:after="283"/>
        <w:ind w:left="0" w:right="0" w:firstLine="720"/>
        <w:jc w:val="left"/>
        <w:rPr>
          <w:rFonts w:ascii="Arial;sans-serif" w:hAnsi="Arial;sans-serif"/>
          <w:b w:val="false"/>
          <w:color w:val="000000"/>
          <w:sz w:val="20"/>
        </w:rPr>
      </w:pPr>
      <w:r>
        <w:rPr>
          <w:rFonts w:ascii="Arial;sans-serif" w:hAnsi="Arial;sans-serif"/>
          <w:b w:val="false"/>
          <w:color w:val="000000"/>
          <w:sz w:val="20"/>
        </w:rPr>
        <w:t>Substantially all of the Company’s unsatisfied performance obligations relate to contracts with an original expected length of one year or less.</w:t>
      </w:r>
    </w:p>
    <w:p>
      <w:pPr>
        <w:pStyle w:val="TextBody"/>
        <w:bidi w:val="0"/>
        <w:spacing w:lineRule="auto" w:line="288" w:before="117"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has elected the practical expedient to recognize the incremental costs of obtaining a contract as an expense when incurred if the amortization period of the asset that the Company would otherwise have recognized is one year or less. </w:t>
      </w:r>
    </w:p>
    <w:p>
      <w:pPr>
        <w:pStyle w:val="TextBody"/>
        <w:bidi w:val="0"/>
        <w:spacing w:lineRule="auto" w:line="288" w:before="114" w:after="283"/>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The following table presents </w:t>
      </w:r>
      <w:r>
        <w:rPr>
          <w:rFonts w:ascii="Arial;sans-serif" w:hAnsi="Arial;sans-serif"/>
          <w:b w:val="false"/>
          <w:color w:val="201E1F"/>
          <w:sz w:val="20"/>
        </w:rPr>
        <w:t xml:space="preserve">revenue </w:t>
      </w:r>
      <w:r>
        <w:rPr>
          <w:rFonts w:ascii="Arial;sans-serif" w:hAnsi="Arial;sans-serif"/>
          <w:b w:val="false"/>
          <w:color w:val="000000"/>
          <w:sz w:val="20"/>
        </w:rPr>
        <w:t>disaggregated by geography, based on billing location (in thousands):</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1382"/>
        <w:gridCol w:w="1202"/>
        <w:gridCol w:w="1207"/>
        <w:gridCol w:w="500"/>
        <w:gridCol w:w="397"/>
        <w:gridCol w:w="399"/>
        <w:gridCol w:w="256"/>
        <w:gridCol w:w="256"/>
        <w:gridCol w:w="256"/>
        <w:gridCol w:w="500"/>
        <w:gridCol w:w="397"/>
        <w:gridCol w:w="399"/>
        <w:gridCol w:w="109"/>
        <w:gridCol w:w="109"/>
        <w:gridCol w:w="109"/>
        <w:gridCol w:w="211"/>
        <w:gridCol w:w="856"/>
        <w:gridCol w:w="109"/>
        <w:gridCol w:w="109"/>
        <w:gridCol w:w="109"/>
        <w:gridCol w:w="109"/>
        <w:gridCol w:w="211"/>
        <w:gridCol w:w="856"/>
        <w:gridCol w:w="157"/>
      </w:tblGrid>
      <w:tr>
        <w:trPr/>
        <w:tc>
          <w:tcPr>
            <w:tcW w:w="138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20"/>
              </w:rPr>
            </w:pPr>
            <w:r>
              <w:rPr>
                <w:rFonts w:ascii="Arial;sans-serif" w:hAnsi="Arial;sans-serif"/>
                <w:b w:val="false"/>
                <w:color w:val="000000"/>
                <w:sz w:val="20"/>
              </w:rPr>
              <w:t>United States</w:t>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87,818</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50,475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164,769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110,269</w:t>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APAC (Asia Pacific)</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72,360</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97,433</w:t>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64" w:before="1" w:after="283"/>
              <w:jc w:val="left"/>
              <w:rPr>
                <w:rFonts w:ascii="Arial;sans-serif" w:hAnsi="Arial;sans-serif"/>
                <w:b w:val="false"/>
                <w:color w:val="000000"/>
                <w:sz w:val="20"/>
              </w:rPr>
            </w:pPr>
            <w:r>
              <w:rPr>
                <w:rFonts w:ascii="Arial;sans-serif" w:hAnsi="Arial;sans-serif"/>
                <w:b w:val="false"/>
                <w:color w:val="000000"/>
                <w:sz w:val="20"/>
              </w:rPr>
              <w:t>EMEA (Europe, Middle East, and Africa)</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56,364</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99,223</w:t>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Arial;sans-serif" w:hAnsi="Arial;sans-serif"/>
                <w:b w:val="false"/>
                <w:color w:val="000000"/>
                <w:sz w:val="20"/>
              </w:rPr>
            </w:pPr>
            <w:r>
              <w:rPr>
                <w:rFonts w:ascii="Arial;sans-serif" w:hAnsi="Arial;sans-serif"/>
                <w:b w:val="false"/>
                <w:color w:val="000000"/>
                <w:sz w:val="20"/>
              </w:rPr>
              <w:t>Other Americas (Canada and Latin America)</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w:t>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219,505</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18" w:after="283"/>
        <w:ind w:left="0" w:right="0" w:firstLine="720"/>
        <w:jc w:val="left"/>
        <w:rPr/>
      </w:pPr>
      <w:r>
        <w:rPr>
          <w:rFonts w:ascii="Arial;sans-serif" w:hAnsi="Arial;sans-serif"/>
          <w:b/>
          <w:color w:val="000000"/>
          <w:sz w:val="20"/>
        </w:rPr>
        <w:t>Redeemable Convertible Preferred Stock—</w:t>
      </w:r>
      <w:r>
        <w:rPr>
          <w:rFonts w:ascii="Arial;sans-serif" w:hAnsi="Arial;sans-serif"/>
          <w:b w:val="false"/>
          <w:color w:val="000000"/>
          <w:sz w:val="20"/>
        </w:rPr>
        <w:t>Prior to the completion of its IPO, the Company’s Series A redeemable convertible preferred stock (“Redeemable Convertible Preferred Stock”) was classified as mezzanine equity in the condensed consolidated financial statements because it was redeemable upon the occurrence of certain deemed liquidation events that were not solely within the Company’s control. The Redeemable Convertible Preferred Stock was initially recognized at fair value upon issuance and was subsequently adjusted to its redemption value at each reporting date if it became currently redeemable or probable of becoming redeemable. In connection with the IPO, all outstanding shares of the Redeemable Convertible Preferred Stock automatically converted into 24,011,299 shares of the Company’s common stock, and the carrying amount of the Redeemable Convertible Preferred Stock was reclassified to permanent equity. As of June 30, 2026, no shares of Redeemable Convertible Preferred Stock were issued and outstanding. Refer to Note 7. Redeemable Convertible Preferred Stock and Stockholders’ Equity (Deficit) for further details on the Redeemable Convertible Preferred Stock.</w:t>
      </w:r>
    </w:p>
    <w:p>
      <w:pPr>
        <w:pStyle w:val="TextBody"/>
        <w:bidi w:val="0"/>
        <w:spacing w:lineRule="auto" w:line="288" w:before="118" w:after="283"/>
        <w:ind w:left="0" w:right="0" w:firstLine="720"/>
        <w:jc w:val="left"/>
        <w:rPr/>
      </w:pPr>
      <w:r>
        <w:rPr>
          <w:rFonts w:ascii="Arial;sans-serif" w:hAnsi="Arial;sans-serif"/>
          <w:b/>
          <w:color w:val="000000"/>
          <w:sz w:val="20"/>
        </w:rPr>
        <w:t>Comprehensive Income (Loss)—</w:t>
      </w:r>
      <w:r>
        <w:rPr>
          <w:rFonts w:ascii="Arial;sans-serif" w:hAnsi="Arial;sans-serif"/>
          <w:b w:val="false"/>
          <w:color w:val="000000"/>
          <w:sz w:val="20"/>
        </w:rPr>
        <w:t xml:space="preserve">Comprehensive income (loss) consists of net income (loss) and other comprehensive income (loss), which includes certain changes in equity that are excluded from net income (loss). Other comprehensive income (loss) consists of foreign currency translation adjustments and unrealized gains and losses from cash flow hedges. The tax benefit related to unrealized gain (loss) on cash flow hedging was $0.4 million and $0.1 million, respectively for the three and six months ended June 30, 2026, and $2.5 million for both the three and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18" w:after="283"/>
        <w:ind w:left="0" w:right="0" w:firstLine="720"/>
        <w:jc w:val="left"/>
        <w:rPr/>
      </w:pPr>
      <w:r>
        <w:rPr>
          <w:rFonts w:ascii="Arial;sans-serif" w:hAnsi="Arial;sans-serif"/>
          <w:b/>
          <w:color w:val="000000"/>
          <w:sz w:val="20"/>
        </w:rPr>
        <w:t>Net Income (Loss) Per Share Attributable to Common Stockholders (“EPS”)</w:t>
      </w:r>
      <w:r>
        <w:rPr>
          <w:color w:val="000000"/>
        </w:rPr>
        <w:t xml:space="preserve">— </w:t>
      </w:r>
      <w:r>
        <w:rPr>
          <w:rFonts w:ascii="Arial;sans-serif" w:hAnsi="Arial;sans-serif"/>
          <w:b w:val="false"/>
          <w:color w:val="000000"/>
          <w:sz w:val="20"/>
        </w:rPr>
        <w:t>Basic earnings per share attributable to common stockholders is computed by dividing the earnings attributable to common stockholders by the weighted-average number of shares of common stock outstanding during the period. Diluted earnings per share adjusts the basic net income (loss) per share attributable to common stockholders and the weighted-average number of shares of common stock outstanding for the potentially dilutive impact of stock options, restricted stock units and any other share-settled stock compensation awards of the Company using the treasury-stock method.</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Prior to the Company’s IPO, net income (loss) was attributed to common stockholders and participating securities based on their participation rights. The Company’s Preferred Stock that was subject to repurchase were considered participating securities, and the two-class method was applied in the computation of both basic and diluted EPS for periods in which such securities were outstanding. Any deemed dividends recognized related to the Preferred Stock were reflected as a reduction of income available to common stockholders. Due to the conversion rights within the Preferred Stock, the Preferred Stock was also assessed under the if-converted method for diluted EPS, and the more dilutive result of the two-class method and if-converted method was presented.</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In June 2026, in connection with the Company’s IPO, each share of the Company’s then outstanding Class A common stock and Class B common stock was reclassified into common stock, and all outstanding shares of Preferred Stock converted into common stock. As of June 30, 2026, the Company had one class of common stock outstanding and no shares of Preferred Stock outstanding.</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For periods prior to the Company’s IPO in which participating securities were outstanding, net loss attributable to common stockholders was not allocated to participating securities under the two-class method because the holders of these securities did not have a contractual obligation to share in the Company’s losses. Under the if-converted method, the numerator was adjusted to reverse any impacts of the convertible security, including dividends, deemed dividends and participation rights, and the denominator was increased for the number of shares issuable upon conversion, weighted for the portion of the period the securities were outstanding. For periods in which the Company reports net losses, diluted net loss per share attributable to common stockholders is the same as basic net loss per share attributable to common stockholders because potentially dilutive common shares are anti-dilutive.</w:t>
      </w:r>
    </w:p>
    <w:p>
      <w:pPr>
        <w:pStyle w:val="TextBody"/>
        <w:bidi w:val="0"/>
        <w:spacing w:lineRule="auto" w:line="288" w:before="119" w:after="283"/>
        <w:ind w:left="0" w:right="0" w:firstLine="720"/>
        <w:jc w:val="left"/>
        <w:rPr/>
      </w:pPr>
      <w:r>
        <w:rPr>
          <w:rFonts w:ascii="Arial;sans-serif" w:hAnsi="Arial;sans-serif"/>
          <w:b/>
          <w:color w:val="000000"/>
          <w:sz w:val="20"/>
        </w:rPr>
        <w:t>Concentration of Credit Risk and Uncertainties—</w:t>
      </w:r>
      <w:r>
        <w:rPr>
          <w:rFonts w:ascii="Arial;sans-serif" w:hAnsi="Arial;sans-serif"/>
          <w:b w:val="false"/>
          <w:color w:val="000000"/>
          <w:sz w:val="20"/>
        </w:rPr>
        <w:t>The Company’s financial instruments that are exposed to concentrations of credit risk consist primarily of cash, cash equivalents, and accounts receivable. To reduce credit risk, management considers the following factors when determining the collectability of specific customer accounts: customer creditworthiness; past transaction history with the customer; current economic industry trends; and changes in customer payment terms. The Company maintains its cash and cash equivalents with financial institutions in amounts which exceed Federal Deposit Insurance Corporation limits.</w:t>
      </w:r>
    </w:p>
    <w:p>
      <w:pPr>
        <w:pStyle w:val="TextBody"/>
        <w:bidi w:val="0"/>
        <w:spacing w:lineRule="auto" w:line="288" w:before="119"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One customer accounted for approximately 17% and 26% of accounts receivable as of June 30, 2026 and December 31, 2025, respectively. </w:t>
      </w:r>
    </w:p>
    <w:p>
      <w:pPr>
        <w:pStyle w:val="TextBody"/>
        <w:bidi w:val="0"/>
        <w:spacing w:lineRule="auto" w:line="288" w:before="119" w:after="283"/>
        <w:ind w:left="0" w:right="0" w:firstLine="720"/>
        <w:jc w:val="left"/>
        <w:rPr>
          <w:rFonts w:ascii="Arial;sans-serif" w:hAnsi="Arial;sans-serif"/>
          <w:b w:val="false"/>
          <w:color w:val="000000"/>
          <w:sz w:val="20"/>
        </w:rPr>
      </w:pPr>
      <w:r>
        <w:rPr>
          <w:rFonts w:ascii="Arial;sans-serif" w:hAnsi="Arial;sans-serif"/>
          <w:b w:val="false"/>
          <w:color w:val="000000"/>
          <w:sz w:val="20"/>
        </w:rPr>
        <w:t>One customer accounted for approximately 10% of revenue for both the three and six months ended June 30, 2026. No individual customer accounted for more than 10% of revenue for both the three and six months ended June 30, 2025.</w:t>
      </w:r>
    </w:p>
    <w:p>
      <w:pPr>
        <w:pStyle w:val="TextBody"/>
        <w:bidi w:val="0"/>
        <w:spacing w:lineRule="auto" w:line="288" w:before="119" w:after="240"/>
        <w:ind w:left="0" w:right="0" w:firstLine="720"/>
        <w:jc w:val="left"/>
        <w:rPr/>
      </w:pPr>
      <w:r>
        <w:rPr>
          <w:rFonts w:ascii="Arial;sans-serif" w:hAnsi="Arial;sans-serif"/>
          <w:b/>
          <w:color w:val="000000"/>
          <w:sz w:val="20"/>
        </w:rPr>
        <w:t>Interest Expense, Net</w:t>
      </w:r>
      <w:r>
        <w:rPr>
          <w:color w:val="000000"/>
        </w:rPr>
        <w:t>—</w:t>
      </w:r>
      <w:r>
        <w:rPr>
          <w:rFonts w:ascii="Arial;sans-serif" w:hAnsi="Arial;sans-serif"/>
          <w:b w:val="false"/>
          <w:color w:val="000000"/>
          <w:sz w:val="20"/>
        </w:rPr>
        <w:t>Interest expense, net primarily consists of interest incurred on outstanding debt, including accretion of debt discount, net of interest income. Interest income primarily consists of income recognized related to cash receipts on hedges as well as interest income on cash deposits.</w:t>
      </w:r>
    </w:p>
    <w:p>
      <w:pPr>
        <w:pStyle w:val="TextBody"/>
        <w:bidi w:val="0"/>
        <w:spacing w:lineRule="auto" w:line="288" w:before="119"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components of interest expense, net are as follows within the condensed consolidated statements of operations (in thousands):</w:t>
      </w:r>
    </w:p>
    <w:tbl>
      <w:tblPr>
        <w:tblW w:w="8584" w:type="dxa"/>
        <w:jc w:val="left"/>
        <w:tblInd w:w="0" w:type="dxa"/>
        <w:tblLayout w:type="fixed"/>
        <w:tblCellMar>
          <w:top w:w="28" w:type="dxa"/>
          <w:left w:w="28" w:type="dxa"/>
          <w:bottom w:w="28" w:type="dxa"/>
          <w:right w:w="28" w:type="dxa"/>
        </w:tblCellMar>
      </w:tblPr>
      <w:tblGrid>
        <w:gridCol w:w="711"/>
        <w:gridCol w:w="624"/>
        <w:gridCol w:w="629"/>
        <w:gridCol w:w="332"/>
        <w:gridCol w:w="1184"/>
        <w:gridCol w:w="171"/>
        <w:gridCol w:w="171"/>
        <w:gridCol w:w="171"/>
        <w:gridCol w:w="171"/>
        <w:gridCol w:w="332"/>
        <w:gridCol w:w="345"/>
        <w:gridCol w:w="346"/>
        <w:gridCol w:w="109"/>
        <w:gridCol w:w="109"/>
        <w:gridCol w:w="109"/>
        <w:gridCol w:w="463"/>
        <w:gridCol w:w="345"/>
        <w:gridCol w:w="346"/>
        <w:gridCol w:w="239"/>
        <w:gridCol w:w="239"/>
        <w:gridCol w:w="239"/>
        <w:gridCol w:w="463"/>
        <w:gridCol w:w="305"/>
        <w:gridCol w:w="43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36,393 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34,604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73,128</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68,542</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64" w:before="1"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(3,054)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(4,814)</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(8,900)</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Arial;sans-serif" w:hAnsi="Arial;sans-serif"/>
                <w:b w:val="false"/>
                <w:color w:val="000000"/>
                <w:sz w:val="20"/>
              </w:rPr>
            </w:pPr>
            <w:r>
              <w:rPr>
                <w:rFonts w:ascii="Arial;sans-serif" w:hAnsi="Arial;sans-serif"/>
                <w:b w:val="false"/>
                <w:color w:val="000000"/>
                <w:sz w:val="20"/>
              </w:rPr>
              <w:t>Interest expense, net</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33,339 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30,038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28" w:before="0" w:after="283"/>
              <w:jc w:val="right"/>
              <w:rPr>
                <w:rFonts w:ascii="Arial;sans-serif" w:hAnsi="Arial;sans-serif"/>
                <w:b w:val="false"/>
                <w:color w:val="000000"/>
                <w:sz w:val="20"/>
              </w:rPr>
            </w:pPr>
            <w:r>
              <w:rPr>
                <w:rFonts w:ascii="Arial;sans-serif" w:hAnsi="Arial;sans-serif"/>
                <w:b w:val="false"/>
                <w:color w:val="000000"/>
                <w:sz w:val="20"/>
              </w:rPr>
              <w:t>59,642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19" w:after="200"/>
        <w:ind w:left="0" w:right="0" w:firstLine="720"/>
        <w:jc w:val="left"/>
        <w:rPr/>
      </w:pPr>
      <w:r>
        <w:rPr>
          <w:rFonts w:ascii="Arial;sans-serif" w:hAnsi="Arial;sans-serif"/>
          <w:b/>
          <w:color w:val="000000"/>
          <w:sz w:val="20"/>
        </w:rPr>
        <w:t>Deferred Offering Costs—</w:t>
      </w:r>
      <w:r>
        <w:rPr>
          <w:rFonts w:ascii="Arial;sans-serif" w:hAnsi="Arial;sans-serif"/>
          <w:b w:val="false"/>
          <w:color w:val="000000"/>
          <w:sz w:val="20"/>
        </w:rPr>
        <w:t xml:space="preserve">Deferred offering costs, which include legal, accounting, printing, and other third-party fees that are incremental and directly related to the Company’s initial public offering (“IPO”), were capitalized within prepaid expenses and other current assets on the condensed consolidated balance sheets prior to the completion of the IPO. Costs not directly related to the IPO and in connection with preparing to become a public company were expensed as incurred. Upon the completion of the IPO, $19.2 million of deferred offering costs were reclassified into Additional paid-in capital as a reduction against the proceeds received from the IPO. Deferred offering costs were nil and $7.1 million as of June 30, 2026 and December 31, 2025, respectively.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Adoption of New Accounting Pronouncements—</w:t>
      </w:r>
    </w:p>
    <w:p>
      <w:pPr>
        <w:pStyle w:val="TextBody"/>
        <w:bidi w:val="0"/>
        <w:spacing w:lineRule="auto" w:line="288" w:before="118" w:after="283"/>
        <w:ind w:left="0" w:right="0" w:firstLine="720"/>
        <w:jc w:val="left"/>
        <w:rPr/>
      </w:pPr>
      <w:r>
        <w:rPr>
          <w:rFonts w:ascii="Arial;sans-serif" w:hAnsi="Arial;sans-serif"/>
          <w:b w:val="false"/>
          <w:color w:val="000000"/>
          <w:sz w:val="20"/>
        </w:rPr>
        <w:t xml:space="preserve">In July 2025, the FASB issued </w:t>
      </w:r>
      <w:r>
        <w:rPr>
          <w:rFonts w:ascii="Arial;sans-serif" w:hAnsi="Arial;sans-serif"/>
          <w:b w:val="false"/>
          <w:i/>
          <w:color w:val="000000"/>
          <w:sz w:val="20"/>
        </w:rPr>
        <w:t xml:space="preserve">ASU 2025-05, Financial Instruments - Credit Losses (Topic 326): Measurement of Credit Losses for Accounts Receivable and Contract Assets </w:t>
      </w:r>
      <w:r>
        <w:rPr>
          <w:rFonts w:ascii="Arial;sans-serif" w:hAnsi="Arial;sans-serif"/>
          <w:b w:val="false"/>
          <w:color w:val="000000"/>
          <w:sz w:val="20"/>
        </w:rPr>
        <w:t xml:space="preserve">(“ASU 2025-05”). This amendment introduces a practical expedient for the application of the current expected credit loss (“CECL”) model to current accounts receivable and contract assets. Effective January 1, 2026, the Company adopted ASU 2025-05 on a prospective basis and elected a practical expedient that assumes that current conditions as of the balance sheet date do not change for the remaining life of the assets. The adoption of this ASU did not have a material impact on the Company’s condensed consolidated financial statements and related disclosures.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Accounting Pronouncements Not Yet Adopted—</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In November 2024, the FASB issued </w:t>
      </w:r>
      <w:r>
        <w:rPr>
          <w:rFonts w:ascii="Arial;sans-serif" w:hAnsi="Arial;sans-serif"/>
          <w:b w:val="false"/>
          <w:i/>
          <w:color w:val="000000"/>
          <w:sz w:val="20"/>
        </w:rPr>
        <w:t>ASU 2024-03,</w:t>
      </w:r>
      <w:r>
        <w:rPr>
          <w:color w:val="000000"/>
        </w:rPr>
        <w:t xml:space="preserve"> </w:t>
      </w:r>
      <w:r>
        <w:rPr>
          <w:rFonts w:ascii="Arial;sans-serif" w:hAnsi="Arial;sans-serif"/>
          <w:b w:val="false"/>
          <w:i/>
          <w:color w:val="000000"/>
          <w:sz w:val="20"/>
        </w:rPr>
        <w:t>Income Statement—Reporting Comprehensive Income—Expense Disaggregation (Subtopic 220-40): Disaggregation of Income Statement Expenses</w:t>
      </w:r>
      <w:r>
        <w:rPr>
          <w:color w:val="000000"/>
        </w:rPr>
        <w:t xml:space="preserve"> </w:t>
      </w:r>
      <w:r>
        <w:rPr>
          <w:rFonts w:ascii="Arial;sans-serif" w:hAnsi="Arial;sans-serif"/>
          <w:b w:val="false"/>
          <w:color w:val="000000"/>
          <w:sz w:val="20"/>
        </w:rPr>
        <w:t xml:space="preserve">(“ASU 2024-03”). In January 2025, the FASB issued </w:t>
      </w:r>
      <w:r>
        <w:rPr>
          <w:rFonts w:ascii="Arial;sans-serif" w:hAnsi="Arial;sans-serif"/>
          <w:b w:val="false"/>
          <w:i/>
          <w:color w:val="000000"/>
          <w:sz w:val="20"/>
        </w:rPr>
        <w:t>ASU 2025-01,</w:t>
      </w:r>
      <w:r>
        <w:rPr>
          <w:color w:val="000000"/>
        </w:rPr>
        <w:t xml:space="preserve"> </w:t>
      </w:r>
      <w:r>
        <w:rPr>
          <w:rFonts w:ascii="Arial;sans-serif" w:hAnsi="Arial;sans-serif"/>
          <w:b w:val="false"/>
          <w:i/>
          <w:color w:val="000000"/>
          <w:sz w:val="20"/>
        </w:rPr>
        <w:t>Income Statement—Reporting Comprehensive Income—Expense Disaggregation Disclosures (Subtopic 220-40): Clarifying the Effective Date</w:t>
      </w:r>
      <w:r>
        <w:rPr>
          <w:color w:val="000000"/>
        </w:rPr>
        <w:t xml:space="preserve"> </w:t>
      </w:r>
      <w:r>
        <w:rPr>
          <w:rFonts w:ascii="Arial;sans-serif" w:hAnsi="Arial;sans-serif"/>
          <w:b w:val="false"/>
          <w:color w:val="000000"/>
          <w:sz w:val="20"/>
        </w:rPr>
        <w:t xml:space="preserve">(“ASU 2025-01”). The amendments in ASU 2024-03 are intended to address investor requests for more detailed expense information by requiring additional disaggregated disclosures in the notes to the financial statements for certain categories of expenses presented on the face of the income statement. As clarified by ASU 2025-01, ASU 2024-03 is effective for fiscal years beginning after December 15, 2026, and for interim periods within fiscal years beginning after December 15, 2027. The amendments may be applied prospectively or retrospectively, and early adoption is permitted. The Company is currently assessing the potential impact that the adoption of ASU 2024-03, as clarified by ASU 2025-01, may have on its disclosures. </w:t>
      </w:r>
    </w:p>
    <w:p>
      <w:pPr>
        <w:pStyle w:val="TextBody"/>
        <w:bidi w:val="0"/>
        <w:spacing w:lineRule="auto" w:line="288" w:before="118" w:after="283"/>
        <w:ind w:left="0" w:right="0" w:firstLine="720"/>
        <w:jc w:val="left"/>
        <w:rPr/>
      </w:pPr>
      <w:r>
        <w:rPr>
          <w:rFonts w:ascii="Arial;sans-serif" w:hAnsi="Arial;sans-serif"/>
          <w:b w:val="false"/>
          <w:color w:val="000000"/>
          <w:sz w:val="20"/>
        </w:rPr>
        <w:t xml:space="preserve">In September 2025, the FASB issued </w:t>
      </w:r>
      <w:r>
        <w:rPr>
          <w:rFonts w:ascii="Arial;sans-serif" w:hAnsi="Arial;sans-serif"/>
          <w:b w:val="false"/>
          <w:i/>
          <w:color w:val="000000"/>
          <w:sz w:val="20"/>
        </w:rPr>
        <w:t>ASU No. 2025-06</w:t>
      </w:r>
      <w:r>
        <w:rPr>
          <w:rFonts w:ascii="Arial;sans-serif" w:hAnsi="Arial;sans-serif"/>
          <w:b w:val="false"/>
          <w:color w:val="000000"/>
          <w:sz w:val="20"/>
        </w:rPr>
        <w:t xml:space="preserve">, </w:t>
      </w:r>
      <w:r>
        <w:rPr>
          <w:rFonts w:ascii="Arial;sans-serif" w:hAnsi="Arial;sans-serif"/>
          <w:b w:val="false"/>
          <w:i/>
          <w:color w:val="000000"/>
          <w:sz w:val="20"/>
        </w:rPr>
        <w:t xml:space="preserve">Intangibles—Goodwill and Other—Internal-Use Software (Subtopic 350-40): Targeted Improvements to the Accounting for Internal-Use-Software </w:t>
      </w:r>
      <w:r>
        <w:rPr>
          <w:rFonts w:ascii="Arial;sans-serif" w:hAnsi="Arial;sans-serif"/>
          <w:b w:val="false"/>
          <w:color w:val="000000"/>
          <w:sz w:val="20"/>
        </w:rPr>
        <w:t>(“ASU 2025-06”), which amends certain aspects of the accounting for internally developed software costs. The amendments eliminate the concept of “development stages” and permit capitalization only when management authorizes and commits to funding a project and it is probable that the project will be completed and placed into use, while introducing a new concept of “significant development uncertainty” that precludes capitalization in cases involving unproven technology, unresolved functionality, or substantially revised performance requirements. ASU 2025-06 supersedes existing guidance on website development costs in ASC 350-50 and relocates it to ASC 350-40. The amendments are effective for annual periods beginning after December 15, 2027, including interim periods within those fiscal years, applied prospectively or retrospectively, with early adoption permitted. The Company is currently assessing the potential impact that the adoption of ASU 2025-06 may have on its condensed consolidated financial statements and related disclosures.</w:t>
      </w:r>
    </w:p>
    <w:p>
      <w:pPr>
        <w:pStyle w:val="TextBody"/>
        <w:bidi w:val="0"/>
        <w:spacing w:lineRule="auto" w:line="288" w:before="118" w:after="283"/>
        <w:ind w:left="0" w:right="0" w:firstLine="720"/>
        <w:jc w:val="left"/>
        <w:rPr/>
      </w:pPr>
      <w:r>
        <w:rPr>
          <w:rFonts w:ascii="Arial;sans-serif" w:hAnsi="Arial;sans-serif"/>
          <w:b w:val="false"/>
          <w:color w:val="000000"/>
          <w:sz w:val="20"/>
        </w:rPr>
        <w:t xml:space="preserve">In November 2025, the FASB issued </w:t>
      </w:r>
      <w:r>
        <w:rPr>
          <w:rFonts w:ascii="Arial;sans-serif" w:hAnsi="Arial;sans-serif"/>
          <w:b w:val="false"/>
          <w:i/>
          <w:color w:val="000000"/>
          <w:sz w:val="20"/>
        </w:rPr>
        <w:t>ASU No. 2025-09, Derivatives and Hedging (Topic 815): Hedge Accounting Improvements</w:t>
      </w:r>
      <w:r>
        <w:rPr>
          <w:rFonts w:ascii="Arial;sans-serif" w:hAnsi="Arial;sans-serif"/>
          <w:b w:val="false"/>
          <w:color w:val="000000"/>
          <w:sz w:val="20"/>
        </w:rPr>
        <w:t xml:space="preserve">, which introduces five targeted improvements to better align hedge accounting with entities’ risk management activities. The update will be effective for annual reporting periods beginning after December 15, 2026, and interim periods within those annual reporting periods. Early adoption is permitted. The Company is currently evaluating this ASU to determine its impact on the Company's disclosures. </w:t>
      </w:r>
    </w:p>
    <w:p>
      <w:pPr>
        <w:pStyle w:val="TextBody"/>
        <w:bidi w:val="0"/>
        <w:spacing w:lineRule="auto" w:line="288" w:before="118" w:after="283"/>
        <w:ind w:left="0" w:right="0" w:firstLine="720"/>
        <w:jc w:val="left"/>
        <w:rPr/>
      </w:pPr>
      <w:r>
        <w:rPr>
          <w:rFonts w:ascii="Arial;sans-serif" w:hAnsi="Arial;sans-serif"/>
          <w:b w:val="false"/>
          <w:color w:val="000000"/>
          <w:sz w:val="20"/>
        </w:rPr>
        <w:t xml:space="preserve">In December 2025, the FASB issued </w:t>
      </w:r>
      <w:r>
        <w:rPr>
          <w:rFonts w:ascii="Arial;sans-serif" w:hAnsi="Arial;sans-serif"/>
          <w:b w:val="false"/>
          <w:i/>
          <w:color w:val="000000"/>
          <w:sz w:val="20"/>
        </w:rPr>
        <w:t>ASU No. 2025-11, Interim Reporting (Topic 270): Narrow-Scope Improvements</w:t>
      </w:r>
      <w:r>
        <w:rPr>
          <w:rFonts w:ascii="Arial;sans-serif" w:hAnsi="Arial;sans-serif"/>
          <w:b w:val="false"/>
          <w:color w:val="000000"/>
          <w:sz w:val="20"/>
        </w:rPr>
        <w:t>, which clarifies the applicability of the interim reporting guidance, the types of interim reporting, and the form and content of interim financial statements in accordance with U.S. generally accepted accounting principles.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The Company is currently evaluating this ASU to determine its impact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360"/>
        <w:jc w:val="left"/>
        <w:rPr>
          <w:color w:val="000000"/>
        </w:rPr>
      </w:pPr>
      <w:bookmarkStart w:id="19" w:name="i3b16dfb3c48f4c508ec81fe8ef8a0a9f"/>
      <w:bookmarkEnd w:id="19"/>
      <w:r>
        <w:rPr>
          <w:color w:val="000000"/>
        </w:rPr>
        <w:t> </w:t>
      </w:r>
      <w:r>
        <w:rPr>
          <w:rFonts w:ascii="Arial;sans-serif" w:hAnsi="Arial;sans-serif"/>
          <w:b/>
          <w:color w:val="000000"/>
          <w:sz w:val="20"/>
        </w:rPr>
        <w:t>3. Goodwill and Intangible Assets, Net</w:t>
      </w:r>
    </w:p>
    <w:p>
      <w:pPr>
        <w:pStyle w:val="TextBody"/>
        <w:bidi w:val="0"/>
        <w:spacing w:lineRule="auto" w:line="288" w:before="121" w:after="283"/>
        <w:jc w:val="left"/>
        <w:rPr>
          <w:rFonts w:ascii="Arial;sans-serif" w:hAnsi="Arial;sans-serif"/>
          <w:b w:val="false"/>
          <w:i/>
          <w:color w:val="201E1F"/>
          <w:sz w:val="20"/>
        </w:rPr>
      </w:pPr>
      <w:r>
        <w:rPr>
          <w:rFonts w:ascii="Arial;sans-serif" w:hAnsi="Arial;sans-serif"/>
          <w:b w:val="false"/>
          <w:i/>
          <w:color w:val="201E1F"/>
          <w:sz w:val="20"/>
        </w:rPr>
        <w:t>Goodwill</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change in the carrying amount of goodwill for the periods presented is as follows (in thousands):</w:t>
      </w:r>
    </w:p>
    <w:p>
      <w:pPr>
        <w:pStyle w:val="TextBody"/>
        <w:bidi w:val="0"/>
        <w:spacing w:before="7" w:after="283"/>
        <w:jc w:val="left"/>
        <w:rPr/>
      </w:pPr>
      <w:r>
        <w:rPr/>
      </w:r>
    </w:p>
    <w:tbl>
      <w:tblPr>
        <w:tblW w:w="4291" w:type="dxa"/>
        <w:jc w:val="left"/>
        <w:tblInd w:w="0" w:type="dxa"/>
        <w:tblLayout w:type="fixed"/>
        <w:tblCellMar>
          <w:top w:w="28" w:type="dxa"/>
          <w:left w:w="28" w:type="dxa"/>
          <w:bottom w:w="28" w:type="dxa"/>
          <w:right w:w="28" w:type="dxa"/>
        </w:tblCellMar>
      </w:tblPr>
      <w:tblGrid>
        <w:gridCol w:w="1112"/>
        <w:gridCol w:w="978"/>
        <w:gridCol w:w="984"/>
        <w:gridCol w:w="211"/>
        <w:gridCol w:w="416"/>
        <w:gridCol w:w="590"/>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1,057,180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47" w:after="283"/>
              <w:ind w:left="0" w:right="0" w:firstLine="122"/>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1,056,302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Intangible assets consist of the following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028"/>
        <w:gridCol w:w="799"/>
        <w:gridCol w:w="804"/>
        <w:gridCol w:w="218"/>
        <w:gridCol w:w="888"/>
        <w:gridCol w:w="112"/>
        <w:gridCol w:w="109"/>
        <w:gridCol w:w="109"/>
        <w:gridCol w:w="109"/>
        <w:gridCol w:w="385"/>
        <w:gridCol w:w="1562"/>
        <w:gridCol w:w="199"/>
        <w:gridCol w:w="109"/>
        <w:gridCol w:w="109"/>
        <w:gridCol w:w="109"/>
        <w:gridCol w:w="247"/>
        <w:gridCol w:w="1003"/>
        <w:gridCol w:w="127"/>
        <w:gridCol w:w="109"/>
        <w:gridCol w:w="109"/>
        <w:gridCol w:w="109"/>
        <w:gridCol w:w="539"/>
        <w:gridCol w:w="539"/>
        <w:gridCol w:w="774"/>
      </w:tblGrid>
      <w:tr>
        <w:trPr/>
        <w:tc>
          <w:tcPr>
            <w:tcW w:w="102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June 30, 2026</w:t>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56" w:before="0" w:after="0"/>
              <w:jc w:val="center"/>
              <w:rPr>
                <w:rFonts w:ascii="Arial;sans-serif" w:hAnsi="Arial;sans-serif"/>
                <w:b/>
                <w:color w:val="000000"/>
                <w:sz w:val="20"/>
              </w:rPr>
            </w:pPr>
            <w:r>
              <w:rPr>
                <w:rFonts w:ascii="Arial;sans-serif" w:hAnsi="Arial;sans-serif"/>
                <w:b/>
                <w:color w:val="000000"/>
                <w:sz w:val="20"/>
              </w:rPr>
              <w:t>Gross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Remaining Useful Life</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(358,031)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years</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(56,152)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years</w:t>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relationships—advertisers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198,912 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(198,912)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Publisher relationships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(75,018)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745,186 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(688,113)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57,073 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841,426 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(688,113)</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153,313 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028"/>
        <w:gridCol w:w="799"/>
        <w:gridCol w:w="804"/>
        <w:gridCol w:w="218"/>
        <w:gridCol w:w="888"/>
        <w:gridCol w:w="112"/>
        <w:gridCol w:w="109"/>
        <w:gridCol w:w="109"/>
        <w:gridCol w:w="109"/>
        <w:gridCol w:w="385"/>
        <w:gridCol w:w="1562"/>
        <w:gridCol w:w="199"/>
        <w:gridCol w:w="109"/>
        <w:gridCol w:w="109"/>
        <w:gridCol w:w="109"/>
        <w:gridCol w:w="247"/>
        <w:gridCol w:w="1003"/>
        <w:gridCol w:w="127"/>
        <w:gridCol w:w="109"/>
        <w:gridCol w:w="109"/>
        <w:gridCol w:w="109"/>
        <w:gridCol w:w="539"/>
        <w:gridCol w:w="539"/>
        <w:gridCol w:w="774"/>
      </w:tblGrid>
      <w:tr>
        <w:trPr/>
        <w:tc>
          <w:tcPr>
            <w:tcW w:w="102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2025</w:t>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56" w:before="0" w:after="0"/>
              <w:jc w:val="center"/>
              <w:rPr>
                <w:rFonts w:ascii="Arial;sans-serif" w:hAnsi="Arial;sans-serif"/>
                <w:b/>
                <w:color w:val="000000"/>
                <w:sz w:val="20"/>
              </w:rPr>
            </w:pPr>
            <w:r>
              <w:rPr>
                <w:rFonts w:ascii="Arial;sans-serif" w:hAnsi="Arial;sans-serif"/>
                <w:b/>
                <w:color w:val="000000"/>
                <w:sz w:val="20"/>
              </w:rPr>
              <w:t>Gross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Remaining Useful Life</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12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388,360 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(337,029)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years</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years</w:t>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relationships—advertisers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(199,049)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Publisher relationships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(75,018)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(663,106)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841,783 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(663,106)</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4" w:before="0" w:after="283"/>
              <w:jc w:val="right"/>
              <w:rPr>
                <w:rFonts w:ascii="Arial;sans-serif" w:hAnsi="Arial;sans-serif"/>
                <w:b w:val="false"/>
                <w:color w:val="000000"/>
                <w:sz w:val="20"/>
              </w:rPr>
            </w:pPr>
            <w:r>
              <w:rPr>
                <w:rFonts w:ascii="Arial;sans-serif" w:hAnsi="Arial;sans-serif"/>
                <w:b w:val="false"/>
                <w:color w:val="000000"/>
                <w:sz w:val="20"/>
              </w:rPr>
              <w:t>178,677 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Amortization expense related to intangible assets for the three and six months ended June 30, 2026 amounted to $12.7 million and $25.4 million, respectively, and $18.0 million and $36.4 million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360"/>
        <w:jc w:val="left"/>
        <w:rPr>
          <w:color w:val="000000"/>
        </w:rPr>
      </w:pPr>
      <w:bookmarkStart w:id="20" w:name="ib7819d9678f54910993c1a5a2180e7a2"/>
      <w:bookmarkEnd w:id="20"/>
      <w:r>
        <w:rPr>
          <w:color w:val="000000"/>
        </w:rPr>
        <w:t> </w:t>
      </w:r>
      <w:r>
        <w:rPr>
          <w:rFonts w:ascii="Arial;sans-serif" w:hAnsi="Arial;sans-serif"/>
          <w:b/>
          <w:color w:val="000000"/>
          <w:sz w:val="20"/>
        </w:rPr>
        <w:t>4. Credit Agreements</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and December 31, 2025, the Company’s long-term debt, net of issuance costs was as follows (in thousands):</w:t>
      </w:r>
    </w:p>
    <w:tbl>
      <w:tblPr>
        <w:tblW w:w="6687" w:type="dxa"/>
        <w:jc w:val="left"/>
        <w:tblInd w:w="0" w:type="dxa"/>
        <w:tblLayout w:type="fixed"/>
        <w:tblCellMar>
          <w:top w:w="28" w:type="dxa"/>
          <w:left w:w="28" w:type="dxa"/>
          <w:bottom w:w="28" w:type="dxa"/>
          <w:right w:w="28" w:type="dxa"/>
        </w:tblCellMar>
      </w:tblPr>
      <w:tblGrid>
        <w:gridCol w:w="1125"/>
        <w:gridCol w:w="987"/>
        <w:gridCol w:w="993"/>
        <w:gridCol w:w="214"/>
        <w:gridCol w:w="1040"/>
        <w:gridCol w:w="111"/>
        <w:gridCol w:w="109"/>
        <w:gridCol w:w="109"/>
        <w:gridCol w:w="109"/>
        <w:gridCol w:w="287"/>
        <w:gridCol w:w="1393"/>
        <w:gridCol w:w="210"/>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Long-term debt:</w:t>
            </w:r>
          </w:p>
        </w:tc>
        <w:tc>
          <w:tcPr>
            <w:tcW w:w="13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balance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1,436,563 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1,855,000 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issuance costs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balance</w:t>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1,410,699 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1,819,700 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23"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1,392,149 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1,801,150 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1"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Credit Facility</w:t>
      </w:r>
    </w:p>
    <w:p>
      <w:pPr>
        <w:pStyle w:val="TextBody"/>
        <w:bidi w:val="0"/>
        <w:spacing w:lineRule="auto" w:line="288" w:before="118" w:after="120"/>
        <w:ind w:left="0" w:right="0" w:firstLine="720"/>
        <w:jc w:val="left"/>
        <w:rPr>
          <w:rFonts w:ascii="Arial;sans-serif" w:hAnsi="Arial;sans-serif"/>
          <w:b w:val="false"/>
          <w:color w:val="000000"/>
          <w:sz w:val="20"/>
        </w:rPr>
      </w:pPr>
      <w:r>
        <w:rPr>
          <w:rFonts w:ascii="Arial;sans-serif" w:hAnsi="Arial;sans-serif"/>
          <w:b w:val="false"/>
          <w:color w:val="000000"/>
          <w:sz w:val="20"/>
        </w:rPr>
        <w:t>On September 30, 2021, the Company entered into a credit agreement (as amended from time to time, the “2021 Credit Agreement”) that provides for a term loan facility and a revolving credit facility (collectively, the “Credit Facility”). On September 8, 2025, the Company amended the 2021 Credit Agreement (the “2025 Amendment”). Pursuant to the 2025 Amendment, the Company refinanced all outstanding borrowings under the 2021 Credit Agreement and increased the aggregate principal amount to $1,855.0 million (the “Term Loan Facility”). Additionally, the Company terminated the previous revolving credit facility and established a new revolving credit facility (the “Revolving Credit Facility”) with a borrowing capacity of $195.5 million. The maturity dates for the Term Loan Facility and Revolving Credit Facility are September 8, 2032 and September 8, 2030, respectively. Furthermore, the unused balance on the Revolving Credit Facility is subject to an unused commitment fee ranging from 0.25% to 0.50% per annum based on the Company's leverage ratio. The Company may prepay the Term Loan Facility in whole or in part at any time without penalty. On June 29, 2026, the Company used IPO proceeds to prepay $409.2 million in aggregate principal of the Term Loan Facility. The Company recognized a loss on extinguishment of debt of $7.4 million related to the write-off of unamortized debt issuance costs associated with the extinguished debt.</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Borrowings under the 2021 Credit Agreement bear interest at different rates based on the type of loan drawn by the Company. With respect to the Term Loan Facility, loans drawn as Secured Overnight Financing Rate (“SOFR”) loans bear interest at the Term SOFR (as defined in the 2021 Credit Agreement) plus a floor of 4.00%. Term loans drawn as Base Rate (as defined in the 2021 Credit Agreement) loans bear interest at Base Rate plus a floor of 3.00%. The Base Rate is the greater of the federal funds effective rate plus 0.50%, the Prime Rate (as defined in the 2021 Credit Agreement), or SOFR plus 1.00%.</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on borrowings under the Revolving Credit Facility are, at the Company’s option, either based on the Base Rate or Term SOFR, with the exception of swing line borrowings, which are always at the Base Rate, plus a floor that ranges from 2.25% to 3.75% based on the Company’s consolidated first lien net leverage ratio. There were no borrowings outstanding under the Revolving Credit Facility or swing line loan as of June 30, 2026 and December 31, 2025.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IPO, the interest rates associated with the Term Loan Facility and Revolving Credit Facility were reduced by 0.25%.</w:t>
      </w:r>
    </w:p>
    <w:p>
      <w:pPr>
        <w:pStyle w:val="TextBody"/>
        <w:bidi w:val="0"/>
        <w:spacing w:lineRule="auto" w:line="288" w:before="122" w:after="283"/>
        <w:ind w:left="0" w:right="0" w:firstLine="720"/>
        <w:jc w:val="left"/>
        <w:rPr>
          <w:rFonts w:ascii="Arial;sans-serif" w:hAnsi="Arial;sans-serif"/>
          <w:b w:val="false"/>
          <w:color w:val="000000"/>
          <w:sz w:val="20"/>
        </w:rPr>
      </w:pPr>
      <w:r>
        <w:rPr>
          <w:rFonts w:ascii="Arial;sans-serif" w:hAnsi="Arial;sans-serif"/>
          <w:b w:val="false"/>
          <w:color w:val="000000"/>
          <w:sz w:val="20"/>
        </w:rPr>
        <w:t>Payments equal to 0.25% of the aggregate principal balance of the Term Loan Facility as of September 8, 2025 or 1.00% total for any given 12-month period, are due quarterly until the current maturity date of September 8, 2032, at which time all unpaid principal and interest are due.</w:t>
      </w:r>
    </w:p>
    <w:p>
      <w:pPr>
        <w:pStyle w:val="TextBody"/>
        <w:bidi w:val="0"/>
        <w:spacing w:lineRule="auto" w:line="288" w:before="122" w:after="283"/>
        <w:ind w:left="0" w:right="0" w:firstLine="720"/>
        <w:jc w:val="left"/>
        <w:rPr>
          <w:rFonts w:ascii="Arial;sans-serif" w:hAnsi="Arial;sans-serif"/>
          <w:b w:val="false"/>
          <w:color w:val="000000"/>
          <w:sz w:val="20"/>
        </w:rPr>
      </w:pPr>
      <w:r>
        <w:rPr>
          <w:rFonts w:ascii="Arial;sans-serif" w:hAnsi="Arial;sans-serif"/>
          <w:b w:val="false"/>
          <w:color w:val="000000"/>
          <w:sz w:val="20"/>
        </w:rPr>
        <w:t>The 2021 Credit Agreement contains certain affirmative and negative covenants, including maintenance of certain debt to EBITDA ratios as defined in the agreement. The Company was in compliance with the covenants as of June 30, 2026 and December 31, 2025.</w:t>
      </w:r>
    </w:p>
    <w:p>
      <w:pPr>
        <w:pStyle w:val="TextBody"/>
        <w:bidi w:val="0"/>
        <w:spacing w:lineRule="auto" w:line="288" w:before="121" w:after="283"/>
        <w:ind w:left="0" w:right="0" w:firstLine="720"/>
        <w:jc w:val="left"/>
        <w:rPr/>
      </w:pPr>
      <w:r>
        <w:rPr>
          <w:rFonts w:ascii="Arial;sans-serif" w:hAnsi="Arial;sans-serif"/>
          <w:b w:val="false"/>
          <w:color w:val="000000"/>
          <w:sz w:val="20"/>
        </w:rPr>
        <w:t>The unused commitment fee for the revolving credit facility was $0.2 million and $0.4 million for the three and six months ended June 30, 2026, respectively and $0.2 million and $0.3 million for the three and six months ended June 30, 2025, respectively. This is recognized as general and administrative expense on the condensed consolidated statements of operations. During the three and six months ended June 30, 2026, amortization of debt issuance costs associated with the Term Loan Facility was $1.1 million and $2.1 million, respectively and $1.5 million</w:t>
      </w:r>
      <w:r>
        <w:rPr>
          <w:color w:val="FFFF00"/>
        </w:rPr>
        <w:t xml:space="preserve"> </w:t>
      </w:r>
      <w:r>
        <w:rPr>
          <w:rFonts w:ascii="Arial;sans-serif" w:hAnsi="Arial;sans-serif"/>
          <w:b w:val="false"/>
          <w:color w:val="000000"/>
          <w:sz w:val="20"/>
        </w:rPr>
        <w:t>and</w:t>
      </w:r>
      <w:r>
        <w:rPr>
          <w:color w:val="FFFF00"/>
        </w:rPr>
        <w:t xml:space="preserve"> </w:t>
      </w:r>
      <w:r>
        <w:rPr>
          <w:rFonts w:ascii="Arial;sans-serif" w:hAnsi="Arial;sans-serif"/>
          <w:b w:val="false"/>
          <w:color w:val="000000"/>
          <w:sz w:val="20"/>
        </w:rPr>
        <w:t xml:space="preserve">$3.1 million for the three and six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121" w:after="283"/>
        <w:ind w:left="0" w:right="0" w:firstLine="720"/>
        <w:jc w:val="left"/>
        <w:rPr/>
      </w:pPr>
      <w:r>
        <w:rPr/>
      </w:r>
    </w:p>
    <w:p>
      <w:pPr>
        <w:pStyle w:val="TextBody"/>
        <w:bidi w:val="0"/>
        <w:spacing w:before="121"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1" w:after="283"/>
        <w:ind w:left="0" w:right="0" w:hanging="360"/>
        <w:jc w:val="left"/>
        <w:rPr>
          <w:color w:val="000000"/>
        </w:rPr>
      </w:pPr>
      <w:bookmarkStart w:id="21" w:name="i31d7aa49aad4470b83f0eac1000d1edc"/>
      <w:bookmarkEnd w:id="21"/>
      <w:r>
        <w:rPr>
          <w:color w:val="000000"/>
        </w:rPr>
        <w:t> </w:t>
      </w:r>
      <w:r>
        <w:rPr>
          <w:rFonts w:ascii="Arial;sans-serif" w:hAnsi="Arial;sans-serif"/>
          <w:b/>
          <w:color w:val="000000"/>
          <w:sz w:val="20"/>
        </w:rPr>
        <w:t xml:space="preserve">5. Fair Value Disclosures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carrying amounts of certain of the Company’s financial instruments, including cash and cash equivalents, accounts receivable, and accounts payable, approximate their respective fair values due to their short-term maturities. The fair value of the Company’s outstanding debt, which was issued with a floating interest rate, is estimated to be approximately $1,410.7 million and $1,824.3 million as of June 30, 2026 and December 31, 2025, respectively (Level 2 measurement).</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interest rate swaps was determined using Level 2 inputs as of both June 30, 2026 and December 31, 2025. The Company obtained third-party verification of fair value at the end of each reporting period. Additionally, management performed a periodic assessment of the critical terms of the interest rate swaps including, among other matters, an assessment of the counterparty’s creditworthiness. The following is a summary of our financial assets and liabilities that are accounted for at fair value on a recurring basis as of June 30, 2026 and December 31, 2025, by level within the fair value hierarchy (in thousands):</w:t>
      </w:r>
    </w:p>
    <w:tbl>
      <w:tblPr>
        <w:tblW w:w="10205" w:type="dxa"/>
        <w:jc w:val="left"/>
        <w:tblInd w:w="0" w:type="dxa"/>
        <w:tblLayout w:type="fixed"/>
        <w:tblCellMar>
          <w:top w:w="28" w:type="dxa"/>
          <w:left w:w="28" w:type="dxa"/>
          <w:bottom w:w="28" w:type="dxa"/>
          <w:right w:w="28" w:type="dxa"/>
        </w:tblCellMar>
      </w:tblPr>
      <w:tblGrid>
        <w:gridCol w:w="1187"/>
        <w:gridCol w:w="998"/>
        <w:gridCol w:w="1010"/>
        <w:gridCol w:w="211"/>
        <w:gridCol w:w="856"/>
        <w:gridCol w:w="109"/>
        <w:gridCol w:w="211"/>
        <w:gridCol w:w="646"/>
        <w:gridCol w:w="109"/>
        <w:gridCol w:w="211"/>
        <w:gridCol w:w="908"/>
        <w:gridCol w:w="109"/>
        <w:gridCol w:w="109"/>
        <w:gridCol w:w="109"/>
        <w:gridCol w:w="109"/>
        <w:gridCol w:w="211"/>
        <w:gridCol w:w="856"/>
        <w:gridCol w:w="109"/>
        <w:gridCol w:w="211"/>
        <w:gridCol w:w="646"/>
        <w:gridCol w:w="109"/>
        <w:gridCol w:w="211"/>
        <w:gridCol w:w="803"/>
        <w:gridCol w:w="157"/>
      </w:tblGrid>
      <w:tr>
        <w:trPr/>
        <w:tc>
          <w:tcPr>
            <w:tcW w:w="11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29" w:after="283"/>
              <w:jc w:val="center"/>
              <w:rPr>
                <w:rFonts w:ascii="Arial;sans-serif" w:hAnsi="Arial;sans-serif"/>
                <w:b/>
                <w:color w:val="000000"/>
                <w:sz w:val="20"/>
              </w:rPr>
            </w:pPr>
            <w:r>
              <w:rPr>
                <w:rFonts w:ascii="Arial;sans-serif" w:hAnsi="Arial;sans-serif"/>
                <w:b/>
                <w:color w:val="000000"/>
                <w:sz w:val="20"/>
              </w:rPr>
              <w:t>Level 2</w:t>
            </w:r>
          </w:p>
        </w:tc>
        <w:tc>
          <w:tcPr>
            <w:tcW w:w="12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earn-out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24" w:after="283"/>
              <w:jc w:val="left"/>
              <w:rPr/>
            </w:pPr>
            <w:r>
              <w:rPr>
                <w:rFonts w:ascii="Arial;sans-serif" w:hAnsi="Arial;sans-serif"/>
                <w:b w:val="false"/>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(97,335)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There were no transfers between Level 1 or Level 2 or transfers in or out of Level 3 of the fair value hierarchy in any periods presented.</w:t>
      </w:r>
    </w:p>
    <w:p>
      <w:pPr>
        <w:pStyle w:val="TextBody"/>
        <w:bidi w:val="0"/>
        <w:spacing w:lineRule="auto" w:line="288" w:before="121" w:after="283"/>
        <w:jc w:val="left"/>
        <w:rPr>
          <w:rFonts w:ascii="Arial;sans-serif" w:hAnsi="Arial;sans-serif"/>
          <w:b w:val="false"/>
          <w:i/>
          <w:color w:val="000000"/>
          <w:sz w:val="20"/>
        </w:rPr>
      </w:pPr>
      <w:r>
        <w:rPr>
          <w:rFonts w:ascii="Arial;sans-serif" w:hAnsi="Arial;sans-serif"/>
          <w:b w:val="false"/>
          <w:i/>
          <w:color w:val="000000"/>
          <w:sz w:val="20"/>
        </w:rPr>
        <w:t>Contingent Consideration Arrangement</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contingent earn-out liability is measured at fair value on a recurring basis using significant unobservable inputs (Level 3). The fair value of the contingent earn-out liability was $95.3 million and $82.7 million as of June 30, 2026 and December 31, 2025, respectively, and was included in other liabilities on the condensed consolidated balance sheets. For the six months ended June 30, 2026 and 2025, the change in the fair value of $12.6 million and $5.1 million, respectively, is included in contingent consideration revaluation on the condensed consolidated statements of operations. </w:t>
      </w:r>
    </w:p>
    <w:p>
      <w:pPr>
        <w:pStyle w:val="TextBody"/>
        <w:bidi w:val="0"/>
        <w:spacing w:lineRule="auto" w:line="288" w:before="121" w:after="283"/>
        <w:jc w:val="left"/>
        <w:rPr>
          <w:rFonts w:ascii="Arial;sans-serif" w:hAnsi="Arial;sans-serif"/>
          <w:b w:val="false"/>
          <w:i/>
          <w:color w:val="000000"/>
          <w:sz w:val="20"/>
        </w:rPr>
      </w:pPr>
      <w:r>
        <w:rPr>
          <w:rFonts w:ascii="Arial;sans-serif" w:hAnsi="Arial;sans-serif"/>
          <w:b w:val="false"/>
          <w:i/>
          <w:color w:val="000000"/>
          <w:sz w:val="20"/>
        </w:rPr>
        <w:t>Post-conversion Earnout Share Liability</w:t>
      </w:r>
    </w:p>
    <w:p>
      <w:pPr>
        <w:pStyle w:val="TextBody"/>
        <w:bidi w:val="0"/>
        <w:spacing w:lineRule="auto" w:line="288" w:before="118" w:after="283"/>
        <w:ind w:left="0" w:right="0" w:firstLine="490"/>
        <w:jc w:val="left"/>
        <w:rPr>
          <w:rFonts w:ascii="Arial;sans-serif" w:hAnsi="Arial;sans-serif"/>
          <w:b w:val="false"/>
          <w:color w:val="000000"/>
          <w:sz w:val="20"/>
        </w:rPr>
      </w:pPr>
      <w:r>
        <w:rPr>
          <w:rFonts w:ascii="Arial;sans-serif" w:hAnsi="Arial;sans-serif"/>
          <w:b w:val="false"/>
          <w:color w:val="000000"/>
          <w:sz w:val="20"/>
        </w:rPr>
        <w:t>The Company’s post-conversion earnout share liability is measured at fair value on a recurring basis using significant unobservable inputs (Level 3). The fair value of the post-conversion earnout share liability was $12.0 million and $14.6 million as of June 30, 2026 and December 31, 2025, respectively, and was included in other liabilities on the condensed consolidated balance sheets. For the six months ended June 30, 2026, the change in the fair value of $2.7 million is included in post-conversion earnout share liability revaluation on the condensed consolidated statements of operations. Refer to Note 7. Redeemable Convertible Preferred Stock and Stockholders’ Equity (Deficit) for further details on the post-conversion earnout share liability.</w:t>
      </w:r>
    </w:p>
    <w:p>
      <w:pPr>
        <w:pStyle w:val="TextBody"/>
        <w:bidi w:val="0"/>
        <w:spacing w:before="118" w:after="283"/>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197"/>
        <w:jc w:val="left"/>
        <w:rPr>
          <w:color w:val="000000"/>
        </w:rPr>
      </w:pPr>
      <w:bookmarkStart w:id="22" w:name="i70328ceda9284df995b5eae08dbfc131"/>
      <w:bookmarkEnd w:id="22"/>
      <w:r>
        <w:rPr>
          <w:color w:val="000000"/>
        </w:rPr>
        <w:t> </w:t>
      </w:r>
      <w:r>
        <w:rPr>
          <w:rFonts w:ascii="Arial;sans-serif" w:hAnsi="Arial;sans-serif"/>
          <w:b/>
          <w:color w:val="000000"/>
          <w:sz w:val="20"/>
        </w:rPr>
        <w:t>6. Commitments and Contingencies</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Arial;sans-serif" w:hAnsi="Arial;sans-serif"/>
          <w:b/>
          <w:color w:val="000000"/>
          <w:sz w:val="20"/>
        </w:rPr>
        <w:t>Contingent Consideration</w:t>
      </w:r>
      <w:r>
        <w:rPr>
          <w:color w:val="000000"/>
        </w:rPr>
        <w:t>—</w:t>
      </w:r>
      <w:r>
        <w:rPr>
          <w:rFonts w:ascii="Arial;sans-serif" w:hAnsi="Arial;sans-serif"/>
          <w:b w:val="false"/>
          <w:color w:val="000000"/>
          <w:sz w:val="20"/>
        </w:rPr>
        <w:t>As of June 30, 2026, there is a contingent consideration arrangement of earn-out payments to former stockholders of the Company of up to $130.9 million. The contingent earn-out liabilities as of June 30, 2026 and December 31, 2025 are carried at fair value and included in other liabilities on the condensed consolidated balance sheets.</w:t>
      </w:r>
    </w:p>
    <w:p>
      <w:pPr>
        <w:pStyle w:val="TextBody"/>
        <w:bidi w:val="0"/>
        <w:spacing w:lineRule="auto" w:line="288" w:before="117" w:after="283"/>
        <w:ind w:left="0" w:right="0" w:firstLine="720"/>
        <w:jc w:val="left"/>
        <w:rPr/>
      </w:pPr>
      <w:r>
        <w:rPr>
          <w:rFonts w:ascii="Arial;sans-serif" w:hAnsi="Arial;sans-serif"/>
          <w:b/>
          <w:color w:val="000000"/>
          <w:sz w:val="20"/>
        </w:rPr>
        <w:t>Contingencies</w:t>
      </w:r>
      <w:r>
        <w:rPr>
          <w:color w:val="000000"/>
        </w:rPr>
        <w:t>—</w:t>
      </w:r>
      <w:r>
        <w:rPr>
          <w:rFonts w:ascii="Arial;sans-serif" w:hAnsi="Arial;sans-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pStyle w:val="TextBody"/>
        <w:bidi w:val="0"/>
        <w:spacing w:lineRule="auto" w:line="288" w:before="122" w:after="283"/>
        <w:ind w:left="0" w:right="0" w:firstLine="720"/>
        <w:jc w:val="left"/>
        <w:rPr/>
      </w:pPr>
      <w:r>
        <w:rPr>
          <w:rFonts w:ascii="Arial;sans-serif" w:hAnsi="Arial;sans-serif"/>
          <w:b/>
          <w:color w:val="000000"/>
          <w:sz w:val="20"/>
        </w:rPr>
        <w:t>Legal Proceedings</w:t>
      </w:r>
      <w:r>
        <w:rPr>
          <w:color w:val="000000"/>
        </w:rPr>
        <w:t>—</w:t>
      </w:r>
      <w:r>
        <w:rPr>
          <w:rFonts w:ascii="Arial;sans-serif" w:hAnsi="Arial;sans-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any accrual recorded is based on the information available at the time. As additional information becomes available, the Company reassesses the potential liability related to the legal proceeding and may revise the estimates. The Company is involved in litigation arising in the ordinary course of business. It is the opinion of management and the Company’s legal counsel that these cases will be resolved without material effect on the Company’s condensed consolidated financial position, results of operations, or cash flows.</w:t>
      </w:r>
    </w:p>
    <w:p>
      <w:pPr>
        <w:pStyle w:val="TextBody"/>
        <w:bidi w:val="0"/>
        <w:spacing w:lineRule="auto" w:line="288" w:before="122" w:after="283"/>
        <w:ind w:left="0" w:right="0" w:firstLine="720"/>
        <w:jc w:val="left"/>
        <w:rPr/>
      </w:pPr>
      <w:r>
        <w:rPr>
          <w:rFonts w:ascii="Arial;sans-serif" w:hAnsi="Arial;sans-serif"/>
          <w:b/>
          <w:color w:val="000000"/>
          <w:sz w:val="20"/>
        </w:rPr>
        <w:t>Non-income Taxes</w:t>
      </w:r>
      <w:r>
        <w:rPr>
          <w:color w:val="000000"/>
        </w:rPr>
        <w:t>—</w:t>
      </w:r>
      <w:r>
        <w:rPr>
          <w:rFonts w:ascii="Arial;sans-serif" w:hAnsi="Arial;sans-serif"/>
          <w:b w:val="false"/>
          <w:color w:val="000000"/>
          <w:sz w:val="20"/>
        </w:rPr>
        <w:t>The Company may be subject to audit by various tax authorities with regard to non-income tax matters. The subject matter of non-income tax audits primarily arises from different interpretations on tax treatment and tax rates applied. The Company accrues liabilities for non-income taxes that may result from examinations by, or any negotiated agreements with, these tax authorities when a loss is probable and reasonably estimable. If a loss is reasonably possible and the loss or range of loss can be estimated, the Company discloses the reasonably possible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1" w:after="283"/>
        <w:ind w:left="0" w:right="0" w:hanging="360"/>
        <w:jc w:val="left"/>
        <w:rPr>
          <w:color w:val="000000"/>
        </w:rPr>
      </w:pPr>
      <w:bookmarkStart w:id="23" w:name="i04c78c2a171c43bd9f5a645c2ce44a6c"/>
      <w:bookmarkEnd w:id="23"/>
      <w:r>
        <w:rPr>
          <w:color w:val="000000"/>
        </w:rPr>
        <w:t> </w:t>
      </w:r>
      <w:r>
        <w:rPr>
          <w:rFonts w:ascii="Arial;sans-serif" w:hAnsi="Arial;sans-serif"/>
          <w:b/>
          <w:color w:val="000000"/>
          <w:sz w:val="20"/>
        </w:rPr>
        <w:t>7. Redeemable Convertible Preferred Stock and Stockholders’ Equity (Deficit)</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Redeemable Convertible Preferred Stock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had previously authorized and issued Redeemable Convertible Preferred Stock with a stated value of $1,000 per share, subject to adjustment for post-closing purchase price adjustments, stock dividends, stock splits, recapitalizations, or partial liquidation redemptions. The Redeemable Convertible Preferred Stock ranked senior to the Company’s common stock with respect to liquidation rights, and junior to all existing and future indebtedness.</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Redeemable Convertible Preferred Stock was convertible at the option of the holder into common stock at the applicable conversion rate of 56.4972 shares per preferred share, based on a conversion price of $17.70, subject to adjustment for stock splits, dividends, recapitalizations, IPO pricing below the conversion price, and the payment of certain earnout obligations under a December 18, 2020 merger agreement. The Redeemable Convertible Preferred Stock automatically converted upon the IPO at the applicable conversion rate.</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In the event of partial liquidation, defined as a disposition of assets or business for net cash proceeds exceeding $430.0 million, holders had the right to elect to receive cash up to the lesser of the aggregate stated value or the cash proceeds, reducing stated value on a dollar-for-dollar basis. Upon a mandatory redemption event (change of control or liquidation event), the Company was required to redeem all outstanding Redeemable Convertible Preferred Stock at the greater of stated value or the as-converted amount, subject to funds legally available. As the occurrence of these deemed liquidation events was not solely within the Company’s control, prior to the completion of the IPO the Redeemable Convertible Preferred Stock was classified as mezzanine equity on the condensed consolidated financial statements.</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Holders of the Redeemable Convertible Preferred Stock were entitled to participate, on an as-converted basis, in dividends or distributions on common stock, but otherwise no dividends accrued. Holders of the Redeemable Convertible Preferred Stock were entitled to vote together with common stockholders as a single class. While any shares were outstanding, the affirmative vote of a majority of Redeemable Convertible Preferred Stock was required for certain amendments disproportionately adverse to 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Upon completion of the IPO, all outstanding shares of the Redeemable Convertible Preferred Stock automatically converted into 24,011,299 shares of common stock. As of June 30, 2026, there were no shares of Redeemable Convertible Preferred Stock outstanding. In the event the Company makes a payment in respect of its existing earn-out obligations subsequent to conversion, the Company will deliver an incremental number of shares of common stock to those shareholders who held the Redeemable Convertible Preferred Stock, subject to certain transfer rules and limitations, at the time they were converted into common stock prior to such earnout obligation payment equal to the number of shares of common stock such former holders of Redeemable Convertible Preferred Stock would have incrementally been entitled to upon conversion of such shares of Preferred Stock, had such earn-out payment been made by the Company prior to the conversion of such shares of Preferred Stock. The Company determined this post-conversion feature was a freestanding instrument that did not meet the requirements of ASC 815-40 to be indexed to the Company’s own stock. Therefore, the Company recorded a post-conversion earnout share liability, which is a derivative liability, of $5.4 million as of June 30, 2025, which created a discount on the Redeemable Convertible Preferred Stock. Subsequently, this derivative liability is remeasured at fair value at each balance sheet date, and the change in fair value is included in post-conversion earnout share liability revaluation on the condensed consolidated statements of operations. Refer to Note 5. Fair Value Disclosures for further details on the post-conversion earnout share liability.</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Common Stock</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amended and restated certificate of incorporation authorizes the Company to issue 7,000,000,000 shares of common stock, par value $0.0001 per share.</w:t>
      </w:r>
    </w:p>
    <w:p>
      <w:pPr>
        <w:pStyle w:val="TextBody"/>
        <w:bidi w:val="0"/>
        <w:spacing w:lineRule="auto" w:line="288" w:before="121" w:after="283"/>
        <w:jc w:val="left"/>
        <w:rPr>
          <w:rFonts w:ascii="Arial;sans-serif" w:hAnsi="Arial;sans-serif"/>
          <w:b w:val="false"/>
          <w:i/>
          <w:color w:val="000000"/>
          <w:sz w:val="20"/>
        </w:rPr>
      </w:pPr>
      <w:r>
        <w:rPr>
          <w:rFonts w:ascii="Arial;sans-serif" w:hAnsi="Arial;sans-serif"/>
          <w:b w:val="false"/>
          <w:i/>
          <w:color w:val="000000"/>
          <w:sz w:val="20"/>
        </w:rPr>
        <w:t>Preferred Stock</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amended and restated certificate of incorporation authorizes the Company to issue 700,000,000 shares of preferred stock, par value $0.0001 per share. </w:t>
      </w:r>
    </w:p>
    <w:p>
      <w:pPr>
        <w:pStyle w:val="TextBody"/>
        <w:bidi w:val="0"/>
        <w:spacing w:before="121"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1" w:after="283"/>
        <w:ind w:left="0" w:right="0" w:hanging="360"/>
        <w:jc w:val="left"/>
        <w:rPr>
          <w:color w:val="000000"/>
        </w:rPr>
      </w:pPr>
      <w:bookmarkStart w:id="24" w:name="id8fd69c4151645128296fbd1f1820169"/>
      <w:bookmarkEnd w:id="24"/>
      <w:r>
        <w:rPr>
          <w:color w:val="000000"/>
        </w:rPr>
        <w:t> </w:t>
      </w:r>
      <w:r>
        <w:rPr>
          <w:rFonts w:ascii="Arial;sans-serif" w:hAnsi="Arial;sans-serif"/>
          <w:b/>
          <w:color w:val="000000"/>
          <w:sz w:val="20"/>
        </w:rPr>
        <w:t>8. Stock-based Compensation</w:t>
      </w:r>
    </w:p>
    <w:p>
      <w:pPr>
        <w:pStyle w:val="TextBody"/>
        <w:bidi w:val="0"/>
        <w:spacing w:lineRule="auto" w:line="288" w:before="121" w:after="283"/>
        <w:ind w:left="0" w:right="0" w:firstLine="720"/>
        <w:jc w:val="left"/>
        <w:rPr/>
      </w:pPr>
      <w:r>
        <w:rPr>
          <w:rFonts w:ascii="Arial;sans-serif" w:hAnsi="Arial;sans-serif"/>
          <w:b/>
          <w:color w:val="000000"/>
          <w:sz w:val="20"/>
        </w:rPr>
        <w:t>2021 Stock Incentive Plan</w:t>
      </w:r>
      <w:r>
        <w:rPr>
          <w:color w:val="000000"/>
        </w:rPr>
        <w:t>—</w:t>
      </w:r>
      <w:r>
        <w:rPr>
          <w:rFonts w:ascii="Arial;sans-serif" w:hAnsi="Arial;sans-serif"/>
          <w:b w:val="false"/>
          <w:color w:val="000000"/>
          <w:sz w:val="20"/>
        </w:rPr>
        <w:t>On March 17, 2021, the Company adopted the Booster Parent Holdings, Inc. 2021 Stock Incentive Plan (the “2021 Plan”). Under the 2021 Plan, as amended, the board of directors had the authority to grant non-qualified stock options (“NSOs”), share appreciation rights (“SARs”), restricted stock, and restricted stock units (“RSUs”) to employees, directors, and consultants. Prior to the completion of the IPO, the Company had granted NSOs, SARs, and RSUs under the 2021 Plan. These awards vest in quarterly or annual installments over a two-to-four-year period and, in certain cases, also contain one year cliff-vesting provisions or performance-vesting conditions. Following the adoption of the Omnibus Incentive Plan (described below) upon the completion of the IPO, the Company ceased granting awards under the 2021 Plan, and no new equity awards have been or will be issued thereunder. All outstanding awards granted under the 2021 Plan will continue to be governed by the 2021 Plan and the applicable award agreements.</w:t>
      </w:r>
    </w:p>
    <w:p>
      <w:pPr>
        <w:pStyle w:val="TextBody"/>
        <w:bidi w:val="0"/>
        <w:spacing w:lineRule="auto" w:line="288" w:before="121" w:after="283"/>
        <w:ind w:left="0" w:right="0" w:firstLine="720"/>
        <w:jc w:val="left"/>
        <w:rPr/>
      </w:pPr>
      <w:r>
        <w:rPr>
          <w:rFonts w:ascii="Arial;sans-serif" w:hAnsi="Arial;sans-serif"/>
          <w:b/>
          <w:color w:val="000000"/>
          <w:sz w:val="20"/>
        </w:rPr>
        <w:t>Omnibus Incentive Plan</w:t>
      </w:r>
      <w:r>
        <w:rPr>
          <w:color w:val="000000"/>
        </w:rPr>
        <w:t>—</w:t>
      </w:r>
      <w:r>
        <w:rPr>
          <w:rFonts w:ascii="Arial;sans-serif" w:hAnsi="Arial;sans-serif"/>
          <w:b w:val="false"/>
          <w:color w:val="000000"/>
          <w:sz w:val="20"/>
        </w:rPr>
        <w:t xml:space="preserve">In connection with the IPO, the board of directors adopted, and stockholders approved, the Liftoff Mobile Inc. 2026 Omnibus Incentive Plan (the “Omnibus Incentive Plan”), which became effective on the date of the IPO. The Omnibus Incentive Plan provides for the grant of stock options (including both incentive stock options and NSOs), SARs, restricted stock and RSUs and other forms of equity-based and cash-based awards to the Company’s employees, directors, officers, consultants and advisors.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initially reserved 24.2 million shares of common stock for the issuance of awards under the Omnibus Incentive Plan. Beginning in fiscal 2027, the number of shares reserved for issuance will automatically increase on the first day of each fiscal year by the lesser of (i) 5% of the total number of shares of common stock outstanding on the last day of the immediately preceding fiscal year and (ii) a lower number of shares determined by the board of directors. As of June 30, 2026, 24.2 million shares remained available for future issuance under the Omnibus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firstLine="720"/>
        <w:jc w:val="left"/>
        <w:rPr/>
      </w:pPr>
      <w:r>
        <w:rPr>
          <w:rFonts w:ascii="Arial;sans-serif" w:hAnsi="Arial;sans-serif"/>
          <w:b/>
          <w:color w:val="000000"/>
          <w:sz w:val="20"/>
        </w:rPr>
        <w:t>Employee Stock Purchase Plan</w:t>
      </w:r>
      <w:r>
        <w:rPr>
          <w:color w:val="000000"/>
        </w:rPr>
        <w:t>—</w:t>
      </w:r>
      <w:r>
        <w:rPr>
          <w:rFonts w:ascii="Arial;sans-serif" w:hAnsi="Arial;sans-serif"/>
          <w:b w:val="false"/>
          <w:color w:val="000000"/>
          <w:sz w:val="20"/>
        </w:rPr>
        <w:t>In connection with the IPO, the board of directors adopted, and stockholders approved, the Liftoff Mobile Inc. 2026 Employee Stock Purchase Plan (the “ESPP”). The ESPP became effective upon the completion of the IPO; however, no offering periods will commence until established by the compensation committee of the board of directors. The ESPP generally provides for two six-month offering periods, with one purchase period in each offering period. The compensation committee may modify the duration of a purchase period, provided that a purchase period may not exceed 27 months. Eligible participants may purchase shares of the Company’s common stock through payroll contributions ranging from 1% to 15% of their eligible compensation. Unless otherwise determined by the compensation committee before the beginning of a purchase period, the purchase price will equal 85% of the lower of the fair market value of the Company’s common stock on the grant date or the applicable purchase-period end date. For offerings intended to qualify under Section 423 of the Internal Revenue Code, no participant may purchase shares having a fair market value greater than $25,000 in any calendar year. Participants may withdraw their accumulated contributions before the applicable purchase-period end date, and a participant’s purchase right generally terminates upon termination of employment or at the end of the applicable purchase period.</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has initially reserved 4.9 million shares of common stock for issuance under the ESPP. Beginning in fiscal 2027, the number of shares reserved for issuance will automatically increase on the first day of each fiscal year by the lesser of (i) 1% of the total number of shares of common stock outstanding on the last day of the immediately preceding fiscal year and (ii) a lower number of shares determined by the board of directors. As of June 30, 2026, 4.9 million shares remained available for future issuance under the ESPP, as the Company had not yet launched the ESPP and was under no obligation to do so. </w:t>
      </w:r>
    </w:p>
    <w:p>
      <w:pPr>
        <w:pStyle w:val="TextBody"/>
        <w:bidi w:val="0"/>
        <w:spacing w:lineRule="auto" w:line="288" w:before="121" w:after="283"/>
        <w:jc w:val="left"/>
        <w:rPr>
          <w:rFonts w:ascii="Arial;sans-serif" w:hAnsi="Arial;sans-serif"/>
          <w:b w:val="false"/>
          <w:i/>
          <w:color w:val="000000"/>
          <w:sz w:val="20"/>
        </w:rPr>
      </w:pPr>
      <w:r>
        <w:rPr>
          <w:rFonts w:ascii="Arial;sans-serif" w:hAnsi="Arial;sans-serif"/>
          <w:b w:val="false"/>
          <w:i/>
          <w:color w:val="000000"/>
          <w:sz w:val="20"/>
        </w:rPr>
        <w:t>Executive Awards</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On September 18, 2023, the Company granted awards to two executives comprised of NSOs, discrete cash amounts, and variable cash amounts, all of which are tied to the price of the Company’s equity upon an exit event (the “Executive Awards”). The awards contain performance and market-based conditions, as well as a service- condition as vesting is contingent on continued employment at the time the performance and market-based conditions are satisfied. The NSOs granted under the Executive Awards are equity classified and were measured at fair value at the time of grant, whereas the discrete cash amounts and variable cash amounts are liability classified. As the performance condition was deemed not probable prior to the completion of the IPO, the NSO grants were not expected to vest. Accordingly, the Company did not recognize expense for the vesting of these awards prior to the IPO.</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March 31, 2026, the Company modified the Executive Awards by amending the market-conditions to lower certain vesting hurdles in light of the distribution made in 2025. This modification was accounted for as a Type IV (improbable-to-improbable) modification, resulting in a new fair value for the Executive Awards. The total number of options that could vest under the Executive Awards is 2,348,996 and the total expense that could be recognized under the modified terms is $35.9 million. As of June 30, 2026, no Executive Awards have been cancelled or forfeited.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June 3, 2026, in connection with the IPO, the Company determined that the performance condition associated with the Executive Awards had been satisfied and that the awards were considered probable of vesting. The number of awards that ultimately vest under the Executive Awards will be determined by the variable weighted average closing stock price measured during the three month period following the conclusion of the lockup period in place following the Company’s IPO. As such, the Company recognized $9.7 million of cumulative expense from the inception of the service period through June 30, 2026, which is included in general and administrative expense on the condensed consolidated statements of operations. As of June 30, 2026, there is $26.2 million of unrecognized expense relating to the Executive Awards that will be recognized over 0.7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MIP Options</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September 12, 2025, the Company issued NSOs to certain members of the senior leadership team, which vest in equal quarterly tranches over a four-year period and are also subject to the Company’s primary private-equity sponsor (the “Sponsor”) achieving certain returns on its invested capital, measured as of June 30, 2025 (the “MIP Options”). The MIP Options vest if there are sufficient distributions, which represents a performance condition, or the sufficient sale of equity sold by the sponsor that achieves a specified return, which represents both a performance condition and a market condition. Each MIP Option has a grant date fair value of $6.97 and the maximum number of MIP Options that could vest — subject to achievement of the aforementioned vesting conditions — is 21,576,558. As of June 30, 2026, the implied performance condition required to be met for the vesting of the MIP Options was not considered probable, and as such, the Company has not recognized any expense for these awards. The Company will begin recognizing expense for the MIP Options if and when such performance condition is deemed probable, which will be the date upon which the Sponsor first receives cash proceeds in respect of its shares. As of June 30, 2026, no MIP Options have been cancelled or forfeited.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MIP Options holders are also eligible to receive cash payments (the “MIP Distributions”) related to the distribution declared in 2025, subject to certain time and market conditions. The MIP Distributions are liability-classified awards and remeasured at fair value using a Monte Carlo simulation analysis at each reporting date. Expense for the MIP Distributions is recognized using a graded vesting attribution method over the requisite service period. During the three and six months ended June 30, 2026, the Company recognized $0.8 million and $1.8 million, respectively, of expense related to the MIP Distributions and paid out $0.5 million and $1.1 million, respectively, to the holders of MIP Options. As of June 30, 2026, the total fair value of the MIP Distributions was $5.3 million and the projected payments at the current return threshold was $7.9 million.</w:t>
      </w:r>
    </w:p>
    <w:p>
      <w:pPr>
        <w:pStyle w:val="TextBody"/>
        <w:bidi w:val="0"/>
        <w:spacing w:lineRule="auto" w:line="288" w:before="119" w:after="283"/>
        <w:ind w:left="0" w:right="0" w:firstLine="720"/>
        <w:jc w:val="left"/>
        <w:rPr/>
      </w:pPr>
      <w:r>
        <w:rPr>
          <w:rFonts w:ascii="Arial;sans-serif" w:hAnsi="Arial;sans-serif"/>
          <w:b/>
          <w:color w:val="000000"/>
          <w:sz w:val="20"/>
        </w:rPr>
        <w:t xml:space="preserve">NSOs - </w:t>
      </w:r>
      <w:r>
        <w:rPr>
          <w:rFonts w:ascii="Arial;sans-serif" w:hAnsi="Arial;sans-serif"/>
          <w:b w:val="false"/>
          <w:color w:val="000000"/>
          <w:sz w:val="20"/>
        </w:rPr>
        <w:t>Stock option activity for the period from December 31, 2025 to June 30, 2026 is as follows:</w:t>
      </w:r>
    </w:p>
    <w:tbl>
      <w:tblPr>
        <w:tblW w:w="10205" w:type="dxa"/>
        <w:jc w:val="left"/>
        <w:tblInd w:w="0" w:type="dxa"/>
        <w:tblLayout w:type="fixed"/>
        <w:tblCellMar>
          <w:top w:w="28" w:type="dxa"/>
          <w:left w:w="28" w:type="dxa"/>
          <w:bottom w:w="28" w:type="dxa"/>
          <w:right w:w="28" w:type="dxa"/>
        </w:tblCellMar>
      </w:tblPr>
      <w:tblGrid>
        <w:gridCol w:w="1738"/>
        <w:gridCol w:w="1528"/>
        <w:gridCol w:w="1538"/>
        <w:gridCol w:w="624"/>
        <w:gridCol w:w="622"/>
        <w:gridCol w:w="621"/>
        <w:gridCol w:w="109"/>
        <w:gridCol w:w="109"/>
        <w:gridCol w:w="109"/>
        <w:gridCol w:w="668"/>
        <w:gridCol w:w="2046"/>
        <w:gridCol w:w="493"/>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56" w:before="31" w:after="283"/>
              <w:jc w:val="center"/>
              <w:rPr>
                <w:rFonts w:ascii="Arial;sans-serif" w:hAnsi="Arial;sans-serif"/>
                <w:b/>
                <w:color w:val="000000"/>
                <w:sz w:val="20"/>
              </w:rPr>
            </w:pPr>
            <w:r>
              <w:rPr>
                <w:rFonts w:ascii="Arial;sans-serif" w:hAnsi="Arial;sans-serif"/>
                <w:b/>
                <w:color w:val="000000"/>
                <w:sz w:val="20"/>
              </w:rPr>
              <w:t>Weighted-Average Exercise Price</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46,661,680 </w:t>
            </w:r>
          </w:p>
        </w:tc>
        <w:tc>
          <w:tcPr>
            <w:tcW w:w="6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(467,148)</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(416,052)</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Fractional awards exchanged for cash upon stock split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45,778,375 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modified certain vested stock options in order to extend the remaining contractual term of such options. These modifications were accounted for as Type I (probable-to-probable) modifications. However, given that these options would not have been able to be exercised prior to the extension, the incremental fair value is equal to each extended options fair value on the modification dates. The Company recognized one-time charges amounting to $10.1 million and $11.0 million in connection with option extensions during the three and six months ended June 30, 2026, respectively.</w:t>
      </w:r>
    </w:p>
    <w:p>
      <w:pPr>
        <w:pStyle w:val="TextBody"/>
        <w:bidi w:val="0"/>
        <w:spacing w:lineRule="auto" w:line="288" w:before="121" w:after="283"/>
        <w:ind w:left="0" w:right="0" w:firstLine="720"/>
        <w:jc w:val="left"/>
        <w:rPr/>
      </w:pPr>
      <w:r>
        <w:rPr>
          <w:rFonts w:ascii="Arial;sans-serif" w:hAnsi="Arial;sans-serif"/>
          <w:b/>
          <w:color w:val="000000"/>
          <w:sz w:val="20"/>
        </w:rPr>
        <w:t>SARs</w:t>
      </w:r>
      <w:r>
        <w:rPr>
          <w:color w:val="000000"/>
        </w:rPr>
        <w:t>—</w:t>
      </w:r>
      <w:r>
        <w:rPr>
          <w:rFonts w:ascii="Arial;sans-serif" w:hAnsi="Arial;sans-serif"/>
          <w:b w:val="false"/>
          <w:color w:val="000000"/>
          <w:sz w:val="20"/>
        </w:rPr>
        <w:t>SARs activity for the period from December 31, 2025 to June 30, 2026 is as follows:</w:t>
      </w:r>
    </w:p>
    <w:p>
      <w:pPr>
        <w:pStyle w:val="TextBody"/>
        <w:bidi w:val="0"/>
        <w:spacing w:before="11" w:after="283"/>
        <w:jc w:val="left"/>
        <w:rPr/>
      </w:pPr>
      <w:r>
        <w:rPr/>
      </w:r>
    </w:p>
    <w:tbl>
      <w:tblPr>
        <w:tblW w:w="10061" w:type="dxa"/>
        <w:jc w:val="left"/>
        <w:tblInd w:w="0" w:type="dxa"/>
        <w:tblLayout w:type="fixed"/>
        <w:tblCellMar>
          <w:top w:w="28" w:type="dxa"/>
          <w:left w:w="28" w:type="dxa"/>
          <w:bottom w:w="28" w:type="dxa"/>
          <w:right w:w="28" w:type="dxa"/>
        </w:tblCellMar>
      </w:tblPr>
      <w:tblGrid>
        <w:gridCol w:w="1758"/>
        <w:gridCol w:w="1546"/>
        <w:gridCol w:w="1556"/>
        <w:gridCol w:w="549"/>
        <w:gridCol w:w="549"/>
        <w:gridCol w:w="551"/>
        <w:gridCol w:w="109"/>
        <w:gridCol w:w="109"/>
        <w:gridCol w:w="109"/>
        <w:gridCol w:w="673"/>
        <w:gridCol w:w="2059"/>
        <w:gridCol w:w="493"/>
      </w:tblGrid>
      <w:tr>
        <w:trPr/>
        <w:tc>
          <w:tcPr>
            <w:tcW w:w="175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 of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56" w:before="31" w:after="283"/>
              <w:jc w:val="center"/>
              <w:rPr>
                <w:rFonts w:ascii="Arial;sans-serif" w:hAnsi="Arial;sans-serif"/>
                <w:b/>
                <w:color w:val="000000"/>
                <w:sz w:val="20"/>
              </w:rPr>
            </w:pPr>
            <w:r>
              <w:rPr>
                <w:rFonts w:ascii="Arial;sans-serif" w:hAnsi="Arial;sans-serif"/>
                <w:b/>
                <w:color w:val="000000"/>
                <w:sz w:val="20"/>
              </w:rPr>
              <w:t>Weighted-Average Exercise Price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1,146,185 </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Fractional awards exchanged for cash upon stock split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1,133,277 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firstLine="720"/>
        <w:jc w:val="left"/>
        <w:rPr/>
      </w:pPr>
      <w:r>
        <w:rPr>
          <w:rFonts w:ascii="Arial;sans-serif" w:hAnsi="Arial;sans-serif"/>
          <w:b/>
          <w:color w:val="000000"/>
          <w:sz w:val="20"/>
        </w:rPr>
        <w:t>RSUs</w:t>
      </w:r>
      <w:r>
        <w:rPr>
          <w:color w:val="000000"/>
        </w:rPr>
        <w:t>—</w:t>
      </w:r>
      <w:r>
        <w:rPr>
          <w:rFonts w:ascii="Arial;sans-serif" w:hAnsi="Arial;sans-serif"/>
          <w:b w:val="false"/>
          <w:color w:val="000000"/>
          <w:sz w:val="20"/>
        </w:rPr>
        <w:t>RSUs contain time and/or performance vesting conditions. Total RSU activity for the period from December 31, 2025 to June 30, 2026 is as follows:</w:t>
      </w:r>
    </w:p>
    <w:tbl>
      <w:tblPr>
        <w:tblW w:w="8919" w:type="dxa"/>
        <w:jc w:val="center"/>
        <w:tblInd w:w="0" w:type="dxa"/>
        <w:tblLayout w:type="fixed"/>
        <w:tblCellMar>
          <w:top w:w="28" w:type="dxa"/>
          <w:left w:w="28" w:type="dxa"/>
          <w:bottom w:w="28" w:type="dxa"/>
          <w:right w:w="28" w:type="dxa"/>
        </w:tblCellMar>
      </w:tblPr>
      <w:tblGrid>
        <w:gridCol w:w="1112"/>
        <w:gridCol w:w="978"/>
        <w:gridCol w:w="984"/>
        <w:gridCol w:w="549"/>
        <w:gridCol w:w="549"/>
        <w:gridCol w:w="551"/>
        <w:gridCol w:w="109"/>
        <w:gridCol w:w="109"/>
        <w:gridCol w:w="109"/>
        <w:gridCol w:w="807"/>
        <w:gridCol w:w="2471"/>
        <w:gridCol w:w="591"/>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Grant Date Fair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63,212 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10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87,587 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firstLine="720"/>
        <w:jc w:val="left"/>
        <w:rPr/>
      </w:pPr>
      <w:r>
        <w:rPr>
          <w:rFonts w:ascii="Arial;sans-serif" w:hAnsi="Arial;sans-serif"/>
          <w:b/>
          <w:color w:val="000000"/>
          <w:sz w:val="20"/>
        </w:rPr>
        <w:t>Stock-Based Compensation Expense</w:t>
      </w:r>
      <w:r>
        <w:rPr>
          <w:color w:val="000000"/>
        </w:rPr>
        <w:t>—</w:t>
      </w:r>
      <w:r>
        <w:rPr>
          <w:rFonts w:ascii="Arial;sans-serif" w:hAnsi="Arial;sans-serif"/>
          <w:b w:val="false"/>
          <w:color w:val="000000"/>
          <w:sz w:val="20"/>
        </w:rPr>
        <w:t>Total stock-based compensation expense was recognized as follows (in thousands):</w:t>
      </w:r>
    </w:p>
    <w:tbl>
      <w:tblPr>
        <w:tblW w:w="9862" w:type="dxa"/>
        <w:jc w:val="left"/>
        <w:tblInd w:w="0" w:type="dxa"/>
        <w:tblLayout w:type="fixed"/>
        <w:tblCellMar>
          <w:top w:w="28" w:type="dxa"/>
          <w:left w:w="28" w:type="dxa"/>
          <w:bottom w:w="28" w:type="dxa"/>
          <w:right w:w="28" w:type="dxa"/>
        </w:tblCellMar>
      </w:tblPr>
      <w:tblGrid>
        <w:gridCol w:w="1434"/>
        <w:gridCol w:w="1261"/>
        <w:gridCol w:w="1264"/>
        <w:gridCol w:w="246"/>
        <w:gridCol w:w="876"/>
        <w:gridCol w:w="127"/>
        <w:gridCol w:w="127"/>
        <w:gridCol w:w="127"/>
        <w:gridCol w:w="127"/>
        <w:gridCol w:w="246"/>
        <w:gridCol w:w="876"/>
        <w:gridCol w:w="127"/>
        <w:gridCol w:w="109"/>
        <w:gridCol w:w="109"/>
        <w:gridCol w:w="109"/>
        <w:gridCol w:w="226"/>
        <w:gridCol w:w="806"/>
        <w:gridCol w:w="117"/>
        <w:gridCol w:w="117"/>
        <w:gridCol w:w="117"/>
        <w:gridCol w:w="117"/>
        <w:gridCol w:w="226"/>
        <w:gridCol w:w="806"/>
        <w:gridCol w:w="165"/>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stock-based compensation expense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Stock-based compensation expense related to NSOs, excluding Executive Awards and one-time charges in connection with option extensions, was approximately $4.3 million and $2.3 million during the three months ended June 30, 2026 and 2025, respectively, and $8.6 million and $4.7 million during the six months ended June 30, 2026 and 2025, respectively. Stock-based compensation expense related to the vesting and remeasurement of SARs was approximately $3.8 million and $3.1 million during the three months ended June 30, 2026 and 2025, respectively, and $2.3 million and $4.4 million during the six months ended June 30, 2026 and 2025, respectively. Such balances are recorded as a liability within accrued liabilities on the condensed consolidated balance sheets. Additionally, expenses presented above include $3.9 million and $2.9 million related to the historical distributions and the MIP Distributions for the three months ended June 30, 2026 and 2025, respectively, and $8.2 million and $6.1 million for the six months ended June 30, 2026 and 2025, respectively.</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and 2025, the Company capitalized $3.6 million and $2.1 million of stock-based compensation expenses related to internal-use software, respectively, and $5.1 million for both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jc w:val="left"/>
        <w:rPr>
          <w:color w:val="000000"/>
        </w:rPr>
      </w:pPr>
      <w:bookmarkStart w:id="25" w:name="ic93e9f4e27dd4fe39807ceaacece5261"/>
      <w:bookmarkEnd w:id="25"/>
      <w:r>
        <w:rPr>
          <w:color w:val="000000"/>
        </w:rPr>
        <w:t> </w:t>
      </w:r>
      <w:r>
        <w:rPr>
          <w:rFonts w:ascii="Arial;sans-serif" w:hAnsi="Arial;sans-serif"/>
          <w:b/>
          <w:color w:val="000000"/>
          <w:sz w:val="20"/>
        </w:rPr>
        <w:t>9. Net Income (Loss) Per Share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had one class of common stock outstanding as of June 30, 2026. Prior to the completion of the IPO, the Company also had Redeemable Convertible Preferred Stock outstanding, which entitled holders to participate in dividends on the Company’s common stock on an as-converted basis, and as such were considered participating securities. As of June 30, 2026, the Company had no shares of Redeemable Convertible Preferred Stock or other Preferred Stock outstanding.</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computation of basic and diluted net income (loss) per share is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41"/>
        <w:gridCol w:w="1307"/>
        <w:gridCol w:w="1312"/>
        <w:gridCol w:w="244"/>
        <w:gridCol w:w="818"/>
        <w:gridCol w:w="118"/>
        <w:gridCol w:w="118"/>
        <w:gridCol w:w="118"/>
        <w:gridCol w:w="118"/>
        <w:gridCol w:w="244"/>
        <w:gridCol w:w="885"/>
        <w:gridCol w:w="118"/>
        <w:gridCol w:w="109"/>
        <w:gridCol w:w="109"/>
        <w:gridCol w:w="109"/>
        <w:gridCol w:w="230"/>
        <w:gridCol w:w="821"/>
        <w:gridCol w:w="120"/>
        <w:gridCol w:w="111"/>
        <w:gridCol w:w="111"/>
        <w:gridCol w:w="111"/>
        <w:gridCol w:w="221"/>
        <w:gridCol w:w="846"/>
        <w:gridCol w:w="166"/>
      </w:tblGrid>
      <w:tr>
        <w:trPr/>
        <w:tc>
          <w:tcPr>
            <w:tcW w:w="174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Basic EPS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Income attributable to participating securities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 - basic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 basic</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137,076,788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130,121,241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145,309,595</w:t>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attributable to common stockholders - basic</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Diluted EPS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 -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 basic</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137,076,788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130,121,241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145,309,595</w:t>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dilutive stock securities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13,412,085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 diluted</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137,076,788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143,533,326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145,309,595</w:t>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attributable to common stockholders - 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potentially dilutive securities were excluded from the computation of diluted income (loss) per share because their effect would have been anti-dilutive for the periods presented, or issuance of such shares is contingent upon the satisfaction of certain conditions which were not satisfied by the end of the period:</w:t>
      </w:r>
    </w:p>
    <w:tbl>
      <w:tblPr>
        <w:tblW w:w="10205" w:type="dxa"/>
        <w:jc w:val="left"/>
        <w:tblInd w:w="0" w:type="dxa"/>
        <w:tblLayout w:type="fixed"/>
        <w:tblCellMar>
          <w:top w:w="28" w:type="dxa"/>
          <w:left w:w="28" w:type="dxa"/>
          <w:bottom w:w="28" w:type="dxa"/>
          <w:right w:w="28" w:type="dxa"/>
        </w:tblCellMar>
      </w:tblPr>
      <w:tblGrid>
        <w:gridCol w:w="1305"/>
        <w:gridCol w:w="1060"/>
        <w:gridCol w:w="936"/>
        <w:gridCol w:w="831"/>
        <w:gridCol w:w="306"/>
        <w:gridCol w:w="204"/>
        <w:gridCol w:w="204"/>
        <w:gridCol w:w="204"/>
        <w:gridCol w:w="204"/>
        <w:gridCol w:w="831"/>
        <w:gridCol w:w="306"/>
        <w:gridCol w:w="204"/>
        <w:gridCol w:w="109"/>
        <w:gridCol w:w="109"/>
        <w:gridCol w:w="109"/>
        <w:gridCol w:w="772"/>
        <w:gridCol w:w="354"/>
        <w:gridCol w:w="189"/>
        <w:gridCol w:w="189"/>
        <w:gridCol w:w="189"/>
        <w:gridCol w:w="189"/>
        <w:gridCol w:w="772"/>
        <w:gridCol w:w="354"/>
        <w:gridCol w:w="275"/>
      </w:tblGrid>
      <w:tr>
        <w:trPr/>
        <w:tc>
          <w:tcPr>
            <w:tcW w:w="13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Time-vesting stock options</w:t>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21,852,821 </w:t>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18,713,365 </w:t>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876,054 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18,713,365 </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Performance-vesting stock options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23,925,554 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2,348,996 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21,576,558 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2,348,996 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87,587 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Convertible Preferred Stock (as converted)</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24,011,299 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24,011,299 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45,865,962 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45,073,660 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22,452,612 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45,073,660 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360"/>
        <w:jc w:val="left"/>
        <w:rPr>
          <w:color w:val="000000"/>
        </w:rPr>
      </w:pPr>
      <w:bookmarkStart w:id="26" w:name="i46ccc2d29cd94357b3e99a3b449e13f1"/>
      <w:bookmarkEnd w:id="26"/>
      <w:r>
        <w:rPr>
          <w:color w:val="000000"/>
        </w:rPr>
        <w:t> </w:t>
      </w:r>
      <w:r>
        <w:rPr>
          <w:rFonts w:ascii="Arial;sans-serif" w:hAnsi="Arial;sans-serif"/>
          <w:b/>
          <w:color w:val="000000"/>
          <w:sz w:val="20"/>
        </w:rPr>
        <w:t>10. Derivatives and Hedging Activities</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a counterparty to interest-rate swap agreements to hedge against potential impact on earnings from fluctuations in market interest rates. In August 2024, the Company entered into two individual pay-fixed, receive-floating interest rate swaps, with notional amounts of $175.0 million each. The hedges will be effective from July 31, 2025 to December 31, 2026 and are designated as cash flow hedges. In June 2023, the Company entered into a transaction to replace one of its existing pay-fixed, receive-floating interest rate swap agreement, with a total notional amount of $250.0 million, upon the expiration of the existing swaps in April 2024. The interest rate swap was effective from April 2024 to December 2025 and was designated as a cash flow hedge. The cash flows related to the swaps are classified as operating activities or, for those that have an other-than-insignificant financing element, financing activities in the condensed consolidated statements of cash flows. The notional amounts for the interest rate swaps increased to an aggregate of $850.0 million as of June 30, 2026. </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may have counterparty credit risk resulting from these interest rate swaps, which it monitors on an on-going basis. The risk lies with two global financial institutions. As of June 30, 2026 and December 31, 2025, the fair value of the interest rate swap asset was $2.7 million and $1.7 million, respectively, and was included in other assets on the condensed consolidated balance sheets. Changes in fair value, to the extent the hedge is effective, are reported in other comprehensive income (loss). As of June 30, 2026, the estimated amount of unrealized gains expected to be reclassified into earnings within the next 12 months was $2.7 million.</w:t>
      </w:r>
    </w:p>
    <w:p>
      <w:pPr>
        <w:pStyle w:val="TextBody"/>
        <w:bidi w:val="0"/>
        <w:spacing w:lineRule="auto" w:line="288" w:before="121" w:after="120"/>
        <w:ind w:left="0" w:right="0" w:firstLine="720"/>
        <w:jc w:val="left"/>
        <w:rPr>
          <w:rFonts w:ascii="Arial;sans-serif" w:hAnsi="Arial;sans-serif"/>
          <w:b w:val="false"/>
          <w:color w:val="000000"/>
          <w:sz w:val="20"/>
        </w:rPr>
      </w:pPr>
      <w:r>
        <w:rPr>
          <w:rFonts w:ascii="Arial;sans-serif" w:hAnsi="Arial;sans-serif"/>
          <w:b w:val="false"/>
          <w:color w:val="000000"/>
          <w:sz w:val="20"/>
        </w:rPr>
        <w:t>The tables below present the effect of cash flow hedges on the Company’s condensed consolidated statements of operations and comprehensive income (loss) (in thousands):</w:t>
      </w:r>
    </w:p>
    <w:tbl>
      <w:tblPr>
        <w:tblW w:w="10205" w:type="dxa"/>
        <w:jc w:val="left"/>
        <w:tblInd w:w="0" w:type="dxa"/>
        <w:tblLayout w:type="fixed"/>
        <w:tblCellMar>
          <w:top w:w="28" w:type="dxa"/>
          <w:left w:w="28" w:type="dxa"/>
          <w:bottom w:w="28" w:type="dxa"/>
          <w:right w:w="28" w:type="dxa"/>
        </w:tblCellMar>
      </w:tblPr>
      <w:tblGrid>
        <w:gridCol w:w="534"/>
        <w:gridCol w:w="469"/>
        <w:gridCol w:w="471"/>
        <w:gridCol w:w="109"/>
        <w:gridCol w:w="109"/>
        <w:gridCol w:w="109"/>
        <w:gridCol w:w="347"/>
        <w:gridCol w:w="273"/>
        <w:gridCol w:w="170"/>
        <w:gridCol w:w="137"/>
        <w:gridCol w:w="137"/>
        <w:gridCol w:w="137"/>
        <w:gridCol w:w="347"/>
        <w:gridCol w:w="273"/>
        <w:gridCol w:w="219"/>
        <w:gridCol w:w="109"/>
        <w:gridCol w:w="109"/>
        <w:gridCol w:w="1903"/>
        <w:gridCol w:w="109"/>
        <w:gridCol w:w="439"/>
        <w:gridCol w:w="439"/>
        <w:gridCol w:w="237"/>
        <w:gridCol w:w="170"/>
        <w:gridCol w:w="170"/>
        <w:gridCol w:w="170"/>
        <w:gridCol w:w="358"/>
        <w:gridCol w:w="308"/>
        <w:gridCol w:w="181"/>
        <w:gridCol w:w="109"/>
        <w:gridCol w:w="109"/>
        <w:gridCol w:w="109"/>
        <w:gridCol w:w="258"/>
        <w:gridCol w:w="290"/>
        <w:gridCol w:w="296"/>
        <w:gridCol w:w="109"/>
        <w:gridCol w:w="109"/>
        <w:gridCol w:w="109"/>
        <w:gridCol w:w="164"/>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23" w:after="283"/>
              <w:jc w:val="center"/>
              <w:rPr>
                <w:rFonts w:ascii="Arial;sans-serif" w:hAnsi="Arial;sans-serif"/>
                <w:b/>
                <w:color w:val="000000"/>
                <w:sz w:val="20"/>
              </w:rPr>
            </w:pPr>
            <w:r>
              <w:rPr>
                <w:rFonts w:ascii="Arial;sans-serif" w:hAnsi="Arial;sans-serif"/>
                <w:b/>
                <w:color w:val="000000"/>
                <w:sz w:val="20"/>
              </w:rPr>
              <w:t>Gain (Loss) Recognized in 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tcMar>
              <w:top w:w="0" w:type="dxa"/>
              <w:left w:w="0" w:type="dxa"/>
              <w:bottom w:w="0" w:type="dxa"/>
              <w:right w:w="0" w:type="dxa"/>
            </w:tcMar>
            <w:vAlign w:val="center"/>
          </w:tcPr>
          <w:p>
            <w:pPr>
              <w:pStyle w:val="TableContents"/>
              <w:bidi w:val="0"/>
              <w:spacing w:lineRule="auto" w:line="288" w:before="23" w:after="283"/>
              <w:jc w:val="center"/>
              <w:rPr>
                <w:rFonts w:ascii="Arial;sans-serif" w:hAnsi="Arial;sans-serif"/>
                <w:b/>
                <w:color w:val="000000"/>
                <w:sz w:val="20"/>
              </w:rPr>
            </w:pPr>
            <w:r>
              <w:rPr>
                <w:rFonts w:ascii="Arial;sans-serif" w:hAnsi="Arial;sans-serif"/>
                <w:b/>
                <w:color w:val="000000"/>
                <w:sz w:val="20"/>
              </w:rPr>
              <w:t>Location of Gain Reclassified from AOCI into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23" w:after="283"/>
              <w:jc w:val="center"/>
              <w:rPr>
                <w:rFonts w:ascii="Arial;sans-serif" w:hAnsi="Arial;sans-serif"/>
                <w:b/>
                <w:color w:val="000000"/>
                <w:sz w:val="20"/>
              </w:rPr>
            </w:pPr>
            <w:r>
              <w:rPr>
                <w:rFonts w:ascii="Arial;sans-serif" w:hAnsi="Arial;sans-serif"/>
                <w:b/>
                <w:color w:val="000000"/>
                <w:sz w:val="20"/>
              </w:rPr>
              <w:t>Gain Reclassified from AOCI into Income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5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7"/>
        <w:gridCol w:w="402"/>
        <w:gridCol w:w="403"/>
        <w:gridCol w:w="109"/>
        <w:gridCol w:w="109"/>
        <w:gridCol w:w="109"/>
        <w:gridCol w:w="123"/>
        <w:gridCol w:w="123"/>
        <w:gridCol w:w="123"/>
        <w:gridCol w:w="123"/>
        <w:gridCol w:w="330"/>
        <w:gridCol w:w="374"/>
        <w:gridCol w:w="220"/>
        <w:gridCol w:w="477"/>
        <w:gridCol w:w="477"/>
        <w:gridCol w:w="479"/>
        <w:gridCol w:w="258"/>
        <w:gridCol w:w="321"/>
        <w:gridCol w:w="327"/>
        <w:gridCol w:w="328"/>
        <w:gridCol w:w="328"/>
        <w:gridCol w:w="329"/>
        <w:gridCol w:w="109"/>
        <w:gridCol w:w="458"/>
        <w:gridCol w:w="458"/>
        <w:gridCol w:w="459"/>
        <w:gridCol w:w="109"/>
        <w:gridCol w:w="109"/>
        <w:gridCol w:w="109"/>
        <w:gridCol w:w="258"/>
        <w:gridCol w:w="290"/>
        <w:gridCol w:w="296"/>
        <w:gridCol w:w="109"/>
        <w:gridCol w:w="109"/>
        <w:gridCol w:w="109"/>
        <w:gridCol w:w="254"/>
        <w:gridCol w:w="260"/>
        <w:gridCol w:w="380"/>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Gain (Loss) Recognized in OCI</w:t>
            </w:r>
          </w:p>
        </w:tc>
        <w:tc>
          <w:tcPr>
            <w:tcW w:w="1433" w:type="dxa"/>
            <w:gridSpan w:val="3"/>
            <w:tcBorders/>
            <w:tcMar>
              <w:top w:w="0" w:type="dxa"/>
              <w:left w:w="0" w:type="dxa"/>
              <w:bottom w:w="0" w:type="dxa"/>
              <w:right w:w="0" w:type="dxa"/>
            </w:tcMar>
            <w:vAlign w:val="center"/>
          </w:tcPr>
          <w:p>
            <w:pPr>
              <w:pStyle w:val="TableContents"/>
              <w:bidi w:val="0"/>
              <w:spacing w:lineRule="auto" w:line="288" w:before="23" w:after="283"/>
              <w:jc w:val="center"/>
              <w:rPr>
                <w:rFonts w:ascii="Arial;sans-serif" w:hAnsi="Arial;sans-serif"/>
                <w:b/>
                <w:color w:val="000000"/>
                <w:sz w:val="20"/>
              </w:rPr>
            </w:pPr>
            <w:r>
              <w:rPr>
                <w:rFonts w:ascii="Arial;sans-serif" w:hAnsi="Arial;sans-serif"/>
                <w:b/>
                <w:color w:val="000000"/>
                <w:sz w:val="20"/>
              </w:rPr>
              <w:t>Location of Gain Reclassified from AOCI into Income</w:t>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Gain Reclassified from AOCI into Income</w:t>
            </w:r>
          </w:p>
        </w:tc>
        <w:tc>
          <w:tcPr>
            <w:tcW w:w="2392" w:type="dxa"/>
            <w:gridSpan w:val="12"/>
            <w:tcBorders/>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4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2392" w:type="dxa"/>
            <w:gridSpan w:val="12"/>
            <w:tcBorders/>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4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w:t>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(3,768)</w:t>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hanging="360"/>
        <w:jc w:val="left"/>
        <w:rPr>
          <w:color w:val="000000"/>
        </w:rPr>
      </w:pPr>
      <w:bookmarkStart w:id="27" w:name="i73ed19453c144afcb44cb2cd90cc9c6a"/>
      <w:bookmarkEnd w:id="27"/>
      <w:r>
        <w:rPr>
          <w:color w:val="000000"/>
        </w:rPr>
        <w:t> </w:t>
      </w:r>
      <w:r>
        <w:rPr>
          <w:rFonts w:ascii="Arial;sans-serif" w:hAnsi="Arial;sans-serif"/>
          <w:b/>
          <w:color w:val="000000"/>
          <w:sz w:val="20"/>
        </w:rPr>
        <w:t>11. Income Taxes</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is subject to income taxes in the U.S. and in foreign jurisdictions. The Company bases interim tax accruals on an estimated annual effective tax rate applied to year-to-date income and records discrete tax items in the period in which they occur. Each quarter, the Company updates the estimated annual effective tax rate and makes a year-to-date adjustment to the tax provision as necessary.</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calendar year 2026 annual effective tax rate differs from the U.S. statutory federal rate primarily due to the jurisdictional mix of earnings, valuation allowances, and nondeductible items.</w:t>
      </w:r>
    </w:p>
    <w:p>
      <w:pPr>
        <w:pStyle w:val="TextBody"/>
        <w:bidi w:val="0"/>
        <w:spacing w:lineRule="auto" w:line="288" w:before="121"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three and six months ended June 30, 2026, there were no material changes to the Company's unrecognized tax benefits. </w:t>
      </w:r>
    </w:p>
    <w:p>
      <w:pPr>
        <w:pStyle w:val="TextBody"/>
        <w:bidi w:val="0"/>
        <w:spacing w:before="1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1" w:after="283"/>
        <w:ind w:left="0" w:right="0" w:hanging="360"/>
        <w:jc w:val="left"/>
        <w:rPr>
          <w:color w:val="000000"/>
        </w:rPr>
      </w:pPr>
      <w:bookmarkStart w:id="28" w:name="i7833a5d4324c4a6fbfc31f4105d84b1f"/>
      <w:bookmarkEnd w:id="28"/>
      <w:r>
        <w:rPr>
          <w:color w:val="000000"/>
        </w:rPr>
        <w:t> </w:t>
      </w:r>
      <w:r>
        <w:rPr>
          <w:rFonts w:ascii="Arial;sans-serif" w:hAnsi="Arial;sans-serif"/>
          <w:b/>
          <w:color w:val="000000"/>
          <w:sz w:val="20"/>
        </w:rPr>
        <w:t>12. Related Party Transactions</w:t>
      </w:r>
    </w:p>
    <w:p>
      <w:pPr>
        <w:pStyle w:val="TextBody"/>
        <w:bidi w:val="0"/>
        <w:spacing w:lineRule="auto" w:line="288" w:before="118" w:after="283"/>
        <w:jc w:val="left"/>
        <w:rPr>
          <w:rFonts w:ascii="Arial;sans-serif" w:hAnsi="Arial;sans-serif"/>
          <w:b w:val="false"/>
          <w:i/>
          <w:color w:val="000000"/>
          <w:sz w:val="20"/>
        </w:rPr>
      </w:pPr>
      <w:r>
        <w:rPr>
          <w:rFonts w:ascii="Arial;sans-serif" w:hAnsi="Arial;sans-serif"/>
          <w:b w:val="false"/>
          <w:i/>
          <w:color w:val="000000"/>
          <w:sz w:val="20"/>
        </w:rPr>
        <w:t>Commercial Transactions with Sponsor Portfolio Companies</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For both the three and six months ended June 30, 2026, the Company received nil, compared to $0.7 million and $1.5 million for the three and six months ended June 30, 2025, respectively, from affiliates of the Company’s private-equity sponsors for advertising services. All such amounts are included in revenue on the condensed consolidated statements of operations.</w:t>
      </w:r>
    </w:p>
    <w:p>
      <w:pPr>
        <w:pStyle w:val="TextBody"/>
        <w:bidi w:val="0"/>
        <w:spacing w:lineRule="auto" w:line="288" w:before="118" w:after="283"/>
        <w:jc w:val="left"/>
        <w:rPr>
          <w:rFonts w:ascii="Arial;sans-serif" w:hAnsi="Arial;sans-serif"/>
          <w:b w:val="false"/>
          <w:i/>
          <w:color w:val="000000"/>
          <w:sz w:val="20"/>
        </w:rPr>
      </w:pPr>
      <w:r>
        <w:rPr>
          <w:rFonts w:ascii="Arial;sans-serif" w:hAnsi="Arial;sans-serif"/>
          <w:b w:val="false"/>
          <w:i/>
          <w:color w:val="000000"/>
          <w:sz w:val="20"/>
        </w:rPr>
        <w:t>Advisory Services from Sponsor Portfolio Companies</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For both the three and six months ended June 30, 2026, the Company paid $0.9 million to affiliates of the Company’s private-equity sponsors for advisory services directly related to the Company’s IPO. Such costs were initially recorded against IPO proceeds upon the completion of the IPO and were reimbursed to the Company by the underwriters, resulting in no impact to the Company’s condensed consolidated financial statements.</w:t>
      </w:r>
    </w:p>
    <w:p>
      <w:pPr>
        <w:pStyle w:val="TextBody"/>
        <w:bidi w:val="0"/>
        <w:spacing w:lineRule="auto" w:line="288" w:before="118" w:after="283"/>
        <w:jc w:val="left"/>
        <w:rPr>
          <w:rFonts w:ascii="Arial;sans-serif" w:hAnsi="Arial;sans-serif"/>
          <w:b w:val="false"/>
          <w:i/>
          <w:color w:val="000000"/>
          <w:sz w:val="20"/>
        </w:rPr>
      </w:pPr>
      <w:r>
        <w:rPr>
          <w:rFonts w:ascii="Arial;sans-serif" w:hAnsi="Arial;sans-serif"/>
          <w:b w:val="false"/>
          <w:i/>
          <w:color w:val="000000"/>
          <w:sz w:val="20"/>
        </w:rPr>
        <w:t>Underwriting of IPO</w:t>
      </w:r>
    </w:p>
    <w:p>
      <w:pPr>
        <w:pStyle w:val="TextBody"/>
        <w:bidi w:val="0"/>
        <w:spacing w:lineRule="auto" w:line="288" w:before="118" w:after="283"/>
        <w:ind w:left="0" w:right="0" w:firstLine="720"/>
        <w:jc w:val="left"/>
        <w:rPr>
          <w:rFonts w:ascii="Arial;sans-serif" w:hAnsi="Arial;sans-serif"/>
          <w:b w:val="false"/>
          <w:color w:val="000000"/>
          <w:sz w:val="20"/>
        </w:rPr>
      </w:pPr>
      <w:r>
        <w:rPr>
          <w:rFonts w:ascii="Arial;sans-serif" w:hAnsi="Arial;sans-serif"/>
          <w:b w:val="false"/>
          <w:color w:val="000000"/>
          <w:sz w:val="20"/>
        </w:rPr>
        <w:t>An affiliate of the Company’s private-equity sponsor underwrote 2.7 million of the 21.9 million shares of common stock sold in the IPO, with underwriting discounts and commissions of $3.8 million ($1.38 per share) paid by the Company with respect to the shares sold by them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1" w:after="283"/>
        <w:ind w:left="0" w:right="0" w:hanging="360"/>
        <w:jc w:val="left"/>
        <w:rPr>
          <w:color w:val="000000"/>
        </w:rPr>
      </w:pPr>
      <w:bookmarkStart w:id="29" w:name="i69eddd36bd5c4c1d9a665fb6eb05c24e"/>
      <w:bookmarkEnd w:id="29"/>
      <w:r>
        <w:rPr>
          <w:color w:val="000000"/>
        </w:rPr>
        <w:t> </w:t>
      </w:r>
      <w:r>
        <w:rPr>
          <w:rFonts w:ascii="Arial;sans-serif" w:hAnsi="Arial;sans-serif"/>
          <w:b/>
          <w:color w:val="000000"/>
          <w:sz w:val="20"/>
        </w:rPr>
        <w:t>13. Segment Information</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determines its operating segments based on how its chief operating decision maker ("CODM") manages the business, allocates resources, makes operating decisions and evaluates operating performance. The Company’s CODM is its Chief Executive Officer.</w:t>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CODM operates the Company’s business activities and reviews financial results as one operating and reportable segment. The CODM manages the business on a consolidated basis. Therefore, results of the Company’s operations are reported on a consolidated basis for purposes of segment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1"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provides segment net revenue, significant segment expenses, other segment items, and reported segment net income (loss) for the three and six months ended June 30, 2026 and 2025 (in thousands):</w:t>
      </w:r>
    </w:p>
    <w:p>
      <w:pPr>
        <w:pStyle w:val="TextBody"/>
        <w:bidi w:val="0"/>
        <w:spacing w:before="121"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99"/>
        <w:gridCol w:w="1405"/>
        <w:gridCol w:w="1423"/>
        <w:gridCol w:w="225"/>
        <w:gridCol w:w="919"/>
        <w:gridCol w:w="116"/>
        <w:gridCol w:w="116"/>
        <w:gridCol w:w="116"/>
        <w:gridCol w:w="116"/>
        <w:gridCol w:w="225"/>
        <w:gridCol w:w="919"/>
        <w:gridCol w:w="116"/>
        <w:gridCol w:w="109"/>
        <w:gridCol w:w="109"/>
        <w:gridCol w:w="109"/>
        <w:gridCol w:w="211"/>
        <w:gridCol w:w="751"/>
        <w:gridCol w:w="109"/>
        <w:gridCol w:w="109"/>
        <w:gridCol w:w="109"/>
        <w:gridCol w:w="109"/>
        <w:gridCol w:w="211"/>
        <w:gridCol w:w="810"/>
        <w:gridCol w:w="164"/>
      </w:tblGrid>
      <w:tr>
        <w:trPr/>
        <w:tc>
          <w:tcPr>
            <w:tcW w:w="15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2910" w:type="dxa"/>
            <w:gridSpan w:val="12"/>
            <w:tcBorders/>
            <w:tcMar>
              <w:top w:w="0" w:type="dxa"/>
              <w:left w:w="0" w:type="dxa"/>
              <w:bottom w:w="0" w:type="dxa"/>
              <w:right w:w="0" w:type="dxa"/>
            </w:tcMar>
            <w:vAlign w:val="center"/>
          </w:tcPr>
          <w:p>
            <w:pPr>
              <w:pStyle w:val="TableContents"/>
              <w:bidi w:val="0"/>
              <w:spacing w:lineRule="auto" w:line="247"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52" w:before="0" w:after="0"/>
              <w:ind w:left="0" w:right="0" w:firstLine="4"/>
              <w:jc w:val="left"/>
              <w:rPr>
                <w:rFonts w:ascii="Arial;sans-serif" w:hAnsi="Arial;sans-serif"/>
                <w:b w:val="false"/>
                <w:color w:val="000000"/>
                <w:sz w:val="20"/>
              </w:rPr>
            </w:pPr>
            <w:r>
              <w:rPr>
                <w:rFonts w:ascii="Arial;sans-serif" w:hAnsi="Arial;sans-serif"/>
                <w:b w:val="false"/>
                <w:color w:val="000000"/>
                <w:sz w:val="20"/>
              </w:rPr>
              <w:t>Revenue</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219,505 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162,084 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425,147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312,053</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Bidding fees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12,379</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jc w:val="left"/>
              <w:rPr/>
            </w:pPr>
            <w:r>
              <w:rPr>
                <w:rFonts w:ascii="Arial;sans-serif" w:hAnsi="Arial;sans-serif"/>
                <w:b w:val="false"/>
                <w:color w:val="000000"/>
                <w:sz w:val="20"/>
              </w:rPr>
              <w:t>Infrastructure costs</w:t>
            </w:r>
            <w:r>
              <w:rPr>
                <w:rFonts w:ascii="Arial;sans-serif" w:hAnsi="Arial;sans-serif"/>
                <w:b w:val="false"/>
                <w:color w:val="000000"/>
                <w:sz w:val="13"/>
              </w:rPr>
              <w:t>1,2</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47,491</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88" w:before="28" w:after="283"/>
              <w:jc w:val="left"/>
              <w:rPr/>
            </w:pPr>
            <w:r>
              <w:rPr>
                <w:rFonts w:ascii="Arial;sans-serif" w:hAnsi="Arial;sans-serif"/>
                <w:b w:val="false"/>
                <w:color w:val="000000"/>
                <w:sz w:val="20"/>
              </w:rPr>
              <w:t>People costs</w:t>
            </w:r>
            <w:r>
              <w:rPr>
                <w:rFonts w:ascii="Arial;sans-serif" w:hAnsi="Arial;sans-serif"/>
                <w:b w:val="false"/>
                <w:color w:val="000000"/>
                <w:sz w:val="13"/>
              </w:rPr>
              <w:t>1,2</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67,898</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jc w:val="left"/>
              <w:rPr/>
            </w:pPr>
            <w:r>
              <w:rPr>
                <w:rFonts w:ascii="Arial;sans-serif" w:hAnsi="Arial;sans-serif"/>
                <w:b w:val="false"/>
                <w:color w:val="000000"/>
                <w:sz w:val="20"/>
              </w:rPr>
              <w:t>Non-people costs</w:t>
            </w:r>
            <w:r>
              <w:rPr>
                <w:rFonts w:ascii="Arial;sans-serif" w:hAnsi="Arial;sans-serif"/>
                <w:b w:val="false"/>
                <w:color w:val="000000"/>
                <w:sz w:val="13"/>
              </w:rPr>
              <w:t>3</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62,883</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88" w:before="28" w:after="283"/>
              <w:jc w:val="left"/>
              <w:rPr/>
            </w:pPr>
            <w:r>
              <w:rPr>
                <w:rFonts w:ascii="Arial;sans-serif" w:hAnsi="Arial;sans-serif"/>
                <w:b w:val="false"/>
                <w:color w:val="000000"/>
                <w:sz w:val="20"/>
              </w:rPr>
              <w:t>Stock-based compensation</w:t>
            </w:r>
            <w:r>
              <w:rPr>
                <w:rFonts w:ascii="Arial;sans-serif" w:hAnsi="Arial;sans-serif"/>
                <w:b w:val="false"/>
                <w:color w:val="000000"/>
                <w:sz w:val="13"/>
              </w:rPr>
              <w:t>1,2</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25,685</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50,672</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59,642</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88" w:before="23" w:after="283"/>
              <w:jc w:val="left"/>
              <w:rPr/>
            </w:pPr>
            <w:r>
              <w:rPr>
                <w:rFonts w:ascii="Arial;sans-serif" w:hAnsi="Arial;sans-serif"/>
                <w:b w:val="false"/>
                <w:color w:val="000000"/>
                <w:sz w:val="20"/>
              </w:rPr>
              <w:t>Other segment items, net</w:t>
            </w:r>
            <w:r>
              <w:rPr>
                <w:rFonts w:ascii="Arial;sans-serif" w:hAnsi="Arial;sans-serif"/>
                <w:b w:val="false"/>
                <w:color w:val="000000"/>
                <w:sz w:val="13"/>
              </w:rPr>
              <w:t>4</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w:t>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Segment net income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1" w:after="283"/>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Internal-use software costs for the three months ended June 30, 2026 amounting to $3.5 million, $10.3 million, and $3.6 million were capitalized associated with infrastructure, people, and stock-based compensation, respectively. Internal-use software costs for the three months ended June 30, 2025 amounting to $2.7 million, $8.6 million, and $2.1 million were capitalized associated with infrastructure, people, and stock-based compensation, respectively.</w:t>
      </w:r>
    </w:p>
    <w:p>
      <w:pPr>
        <w:pStyle w:val="TextBody"/>
        <w:bidi w:val="0"/>
        <w:spacing w:lineRule="auto" w:line="288" w:before="1" w:after="283"/>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16"/>
        </w:rPr>
        <w:t>Internal-use software costs for the six months ended June 30, 2026 amounting to $6.5 million, $20.5 million, and $5.1 million were capitalized associated with infrastructure, people, and stock-based compensation, respectively. Internal-use software costs for the six months ended June 30, 2025 amounting to $6.1 million, $17.6 million, and $5.1 million were capitalized associated with infrastructure, people, and stock-based compensation, respectively.</w:t>
      </w:r>
    </w:p>
    <w:p>
      <w:pPr>
        <w:pStyle w:val="TextBody"/>
        <w:bidi w:val="0"/>
        <w:spacing w:lineRule="auto" w:line="288" w:before="1" w:after="283"/>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16"/>
        </w:rPr>
        <w:t>Non-people costs primarily consist of company overhead expenses including items such as facilities, rent expense, company events, transportation, and other miscellaneous expenses.</w:t>
      </w:r>
    </w:p>
    <w:p>
      <w:pPr>
        <w:pStyle w:val="TextBody"/>
        <w:bidi w:val="0"/>
        <w:spacing w:lineRule="auto" w:line="288" w:before="1" w:after="283"/>
        <w:jc w:val="left"/>
        <w:rPr/>
      </w:pPr>
      <w:r>
        <w:rPr>
          <w:rFonts w:ascii="Arial;sans-serif" w:hAnsi="Arial;sans-serif"/>
          <w:b w:val="false"/>
          <w:color w:val="000000"/>
          <w:sz w:val="13"/>
        </w:rPr>
        <w:t>4</w:t>
      </w:r>
      <w:r>
        <w:rPr>
          <w:color w:val="000000"/>
        </w:rPr>
        <w:t xml:space="preserve"> </w:t>
      </w:r>
      <w:r>
        <w:rPr>
          <w:rFonts w:ascii="Arial;sans-serif" w:hAnsi="Arial;sans-serif"/>
          <w:b w:val="false"/>
          <w:color w:val="000000"/>
          <w:sz w:val="16"/>
        </w:rPr>
        <w:t>Other segment items, net consist primarily of foreign currency exchange gains and losses relating to transactions denominated in currencies other than the U.S. dollar.</w:t>
      </w:r>
    </w:p>
    <w:p>
      <w:pPr>
        <w:pStyle w:val="TextBody"/>
        <w:bidi w:val="0"/>
        <w:spacing w:before="1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1" w:after="283"/>
        <w:ind w:left="0" w:right="0" w:hanging="360"/>
        <w:jc w:val="left"/>
        <w:rPr>
          <w:color w:val="000000"/>
        </w:rPr>
      </w:pPr>
      <w:bookmarkStart w:id="30" w:name="ia865b0dfe6794116a70dd8e7cd5a2c98"/>
      <w:bookmarkEnd w:id="30"/>
      <w:r>
        <w:rPr>
          <w:color w:val="000000"/>
        </w:rPr>
        <w:t> </w:t>
      </w:r>
      <w:r>
        <w:rPr>
          <w:rFonts w:ascii="Arial;sans-serif" w:hAnsi="Arial;sans-serif"/>
          <w:b/>
          <w:color w:val="000000"/>
          <w:sz w:val="20"/>
        </w:rPr>
        <w:t>14. Subsequent Events</w:t>
      </w:r>
    </w:p>
    <w:p>
      <w:pPr>
        <w:pStyle w:val="TextBody"/>
        <w:bidi w:val="0"/>
        <w:spacing w:lineRule="auto" w:line="288" w:before="122"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concluded that no events or transactions have occurred that may require disclosure in the accompanying financial statements.</w:t>
      </w:r>
    </w:p>
    <w:p>
      <w:pPr>
        <w:pStyle w:val="TextBody"/>
        <w:bidi w:val="0"/>
        <w:spacing w:before="122" w:after="283"/>
        <w:jc w:val="left"/>
        <w:rPr/>
      </w:pPr>
      <w:r>
        <w:rPr/>
      </w:r>
    </w:p>
    <w:p>
      <w:pPr>
        <w:pStyle w:val="TextBody"/>
        <w:bidi w:val="0"/>
        <w:spacing w:before="1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
        <w:jc w:val="left"/>
        <w:rPr>
          <w:rFonts w:ascii="Arial;sans-serif" w:hAnsi="Arial;sans-serif"/>
          <w:b/>
          <w:color w:val="000000"/>
          <w:sz w:val="22"/>
        </w:rPr>
      </w:pPr>
      <w:bookmarkStart w:id="31" w:name="icffcad8a18364fcb967ede71a9af77e0"/>
      <w:bookmarkEnd w:id="31"/>
      <w:r>
        <w:rPr>
          <w:rFonts w:ascii="Arial;sans-serif" w:hAnsi="Arial;sans-serif"/>
          <w:b/>
          <w:color w:val="000000"/>
          <w:sz w:val="22"/>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results of operations and financial condition in conjunction with the unaudited condensed consolidated financial statements and related notes thereto included elsewhere in this Quarterly Report on Form 10-Q. In addition to historical consolidated financial information, the following discussion contains forward-looking statements that involve numerous risks and uncertainties.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our IPO Prospectus and the “Cautionary Note About Forward-Looking Statements” section of this Quarterly Report on Form 10-Q. Actual results may differ materially from those contained in any forward-looking statements. Unless the context otherwise requires, references in this section to “Liftoff,” “we,” “our,” “us,” and the “Company” refer to Liftoff Mobile, Inc. and its consolidated subsidiaries. Certain amounts have been calculated using actual, non-rounded figures; accordingly certain amounts and percentages may not recalculate precisely.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Liftoff is a mission-critical growth monetization engine for the app economy. Our AI-powered platform is designed to serve all verticals in the app ecosystem and is fully integrated to drive differentiated advertising performance for our customers across the app economy. We deliver profitable users for app advertisers and help to maximize advertising revenue for apps that monetize with ads. </w:t>
      </w:r>
      <w:r>
        <w:rPr>
          <w:rFonts w:ascii="Arial;sans-serif" w:hAnsi="Arial;sans-serif"/>
          <w:b w:val="false"/>
          <w:color w:val="000000"/>
          <w:sz w:val="20"/>
          <w:shd w:fill="FFFFFF" w:val="clear"/>
        </w:rPr>
        <w:t>W</w:t>
      </w:r>
      <w:r>
        <w:rPr>
          <w:rFonts w:ascii="Arial;sans-serif" w:hAnsi="Arial;sans-serif"/>
          <w:b w:val="false"/>
          <w:color w:val="000000"/>
          <w:sz w:val="20"/>
        </w:rPr>
        <w:t xml:space="preserve">e are built to grow as our customers grow—our models are continually improving, which enables us to deliver better performance for our customers, expanding our market opportunity and strengthening our role in the app economy.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From the beginning, we designed our platform to serve all verticals in the app economy, enabling us to diversify our customer base and expand our market opportunity. We have developed broad vertical expertise spanning social media, finance, entertainment, and gaming, among other verticals, allowing us to address our customers’ unique goals and resulting in differentiated end-market diversification in our industry. As the mobile app landscape evolves and new and high-growth verticals emerge, we expect to be well-positioned to capture the opportunities that follow.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financial model is characterized by diversified and durable revenue, compounding revenue growth powered by our alignment with our customers’ success, and strong platform economics. Core Advertising revenue includes revenue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 In 2024, we phased out certain Other offerings and began transitioning customers to Cortex, which resulted in an increase to our Core Advertising revenue with an offsetting impact to Other revenue.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Overview of Financial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we generated: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Revenue of $219.5 million and $162.1 million, respectively, representing a year-over-year increase of 35%;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Core Advertising revenue of $218.6 million and $161.0 million, respectively, representing a year-over-year increase of 36%;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loss of $(4.2) million and $(23.8) million, respectively, representing a year-over-year decrease of $19.6 million, with a net loss margin of (2)% and (15)%,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of $132.3 million and $85.2 million, respectively, representing Adjusted EBITDA Margins of 60% and 53%, respectively, and a year-over-year increase of 55%.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and 2025, we generated: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Revenue of $425.1 million and $312.1 million, respectively, representing a year-over-year increase of 36%;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Core Advertising revenue of $423.3 million and $310.0 million, respectively, representing a year-over-year increase of 37%;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income of $45.1 million and net loss of $(19.9) million, respectively, representing a year-over-year increase of $65.0 million, with a net income margin of 11% and a net loss margin of (6)%,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of $252.4 million and $163.0 million, respectively, representing Adjusted EBITDA Margins of 59% and 52%, respectively, and a year-over-year increase of 55%.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See the section titled “—Non-GAAP Financial Information” for a description of Adjusted EBITDA and Adjusted EBITDA Margin and a reconciliation of Adjusted EBITDA and Adjusted EBITDA Margin to net income (loss) and net income (loss) margin, the most directly comparable financial measures calculated in accordance with GAAP.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Arial;sans-serif" w:hAnsi="Arial;sans-serif"/>
          <w:b/>
          <w:i/>
          <w:color w:val="000000"/>
          <w:sz w:val="20"/>
        </w:rPr>
      </w:pPr>
      <w:r>
        <w:rPr>
          <w:rFonts w:ascii="Arial;sans-serif" w:hAnsi="Arial;sans-serif"/>
          <w:b/>
          <w:i/>
          <w:color w:val="000000"/>
          <w:sz w:val="20"/>
        </w:rPr>
        <w:t>Initial Public Offering</w:t>
      </w:r>
    </w:p>
    <w:p>
      <w:pPr>
        <w:pStyle w:val="TextBody"/>
        <w:bidi w:val="0"/>
        <w:spacing w:before="0" w:after="0"/>
        <w:ind w:left="0" w:right="0" w:hanging="63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registration statement on Form S-1 (the “IPO Registration Statement”) related to our initial public offering (“IPO”) was declared effective on June 3, 2026, and our common stock began trading on the Nasdaq Global Select Market on June 4, 2026. On June 5, 2026, we completed our IPO, in which we issued and sold 21.9 million shares of common stock, including 2.9 million shares of common stock pursuant to the underwriters’ exercise in full of their over-allotment option, at a public offering price of $23.00 per share. We received net proceeds of approximately $472.4 million after deducting underwriting discounts and commissions and before offering expenses. We used the proceeds to repay outstanding indebtedness totaling $409.2 million in aggregate principal amount, and intend to use the remainder for general corporate purposes, and to cover all of the expenses of the IPO. Refer to Note 4. Credit Agreements for additional details on the debt repayment.</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Upon the effectiveness of the IPO registration statement, certain stock-based awards with performance-based vesting conditions tied to the IPO became probable of vesting, resulting in the recognition of stock-based compensation expense during the period in which the IPO occurred. Refer to Note 8. Stock-based Compensation for additional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generate revenue under a transaction-based model, where we optimize the purchase of mobile media inventory on behalf of advertisers. In each ad transaction that flows through our technology platform, we retain a portion of media spend as revenue, with the remainder passed to supply partners.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Mobile app advertisers use our platform to achieve key performance objectives such as return on ad spend (ROAS) or similar profitability-focused metrics. Advertisers set campaign objectives, and we optimize spend across our own SSP and third-party supply to maximize performance against those objectives. When we help customers meet or exceed targets, they typically sustain and increase spend, which in turn expands transaction volume on our platform. Additionally, publishers integrate our SDK to efficiently monetize their ad inventory, expanding the supply that fuels advertiser demand and spend on our platform.</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While revenue from any specific customer can vary within and across periods based on their user acquisition strategies and the performance of their apps, our alignment with customer outcomes—combined with a large, diverse customer base—supports stable, compounding Core Advertising revenue growth.</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Key Operating and Financial Metrics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monitor the following key metrics to help us evaluate the health of our business, identify trends affecting our growth, formulate goals and objectives and make strategic decisions. We believe these non-GAAP and operational measures are useful in evaluating our performance, in addition to our financial results prepared in accordance with GAAP. See “Non-GAAP Financial Information” for additional information on non-GAAP financial measures and a reconciliation to the most comparable GAAP measures.</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Core Advertising Revenue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Core Advertising revenue represents the vast majority of our total revenue and is derived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believe Core Advertising revenue, and its historical growth, is an important metric as it aligns with the rollout of Cortex in 2023 and is more representative of our growth potential versus total revenue in historical periods.</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2023, Core Advertising revenue represented approximately 79% of our total revenue and increased to approximately 99% of our total revenue in 2025. For both the three and six months ended June 30, 2026, Core Advertising revenue represented approximately 100% of our total revenue. We expect Core Advertising revenue as a percentage of our total revenue to remain the primary contributor to our total revenue as customers increasingly opt into our Cortex-backed demand solutions.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i/>
          <w:color w:val="000000"/>
          <w:sz w:val="20"/>
        </w:rPr>
        <w:t>Customers Contributing More Than $100,000 of Core Advertising Revenue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the growth in the number of customers contributing more than $100,000 of Core Advertising revenue is an important indicator of the health of our business highlighting our ability to meaningfully scale new customers and retain our existing customers by delivering strong performance. We monitor this as a measure of large-customer engagement and our ability to expand within accounts over time. These customers generate the vast majority of our Core Advertising revenue and associated growth. We expect to increase the revenue from customers who spend more than $100,000 on Core Advertising revenue over time.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calculate this metric for a period by counting the number of unique customers whose Core Advertising revenue with us exceeded $100,000 on a trailing twelve-month basis as of each period end. This metric may fluctuate for several reasons, including the timing and effectiveness of new product launches and features, seasonality in advertising budgets and campaign activity, consolidation or churn within our customer base, and broader macroeconomic conditions that influence marketing spending. We expect this measure to continue to rise in the near term as we expand usage among existing customers and win additional large accounts.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twelve months ended June 30, 2026 and 2025, the number of customers contributing over $100,000 of LTM Core Advertising revenue was 391 and 341, respectively.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i/>
          <w:color w:val="000000"/>
          <w:sz w:val="20"/>
        </w:rPr>
        <w:t>Adjusted EBITDA and Adjusted EBITDA Margin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Adjusted EBITDA for the three months ended June 30, 2026 increased by $47.1 million, or 55%, to $132.3 million (60% Adjusted EBITDA Margin), compared to $85.2 million (53% Adjusted EBITDA Margin) for the three months ended June 30, 2025. For the six months ended June 30, 2026, Adjusted EBITDA increased by $89.4 million, or 55%, to $252.4 million (59% Adjusted EBITDA Margin), compared to $163.0 million (52% Adjusted EBITDA Margin) for the six months ended June 30, 2025. For the three months ended June 30, 2026, the increase in Adjusted EBITDA was primarily driven by a $57.4 million increase in revenue, partially offset by $10.3 million of higher expenses. The expense increases were attributable to $5.9 million of infrastructure costs and bidding fees associated with increased volume through our platform. For the six months ended June 30, 2026, the increase in Adjusted EBITDA was primarily driven by a $113.1 million increase in revenue, partially offset by $23.7 million of higher expenses. The expense increases were attributable to $13.4 million of infrastructure costs and bidding fees associated with increased volume through our platform.</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Free Cash Flow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Free Cash Flow for the twelve months ended June 30, 2026 increased by $108.1 million, or 142%, to $184.5 million, compared to $76.4 million for the twelve months ended June 30, 2025. The increase was primarily driven by an increase in net income and improved customer collections.</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Key Factors Affecting Our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that the growth and financial performance of our business depend on many factors, including the key factors described below.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Retention and Expansion of our Existing Customers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future success is dependent on our ability to retain our existing customers and to expand their relationship across our platform. The performance of Liftoff-enabled campaigns, measured by ROAS or similar advertising performance metrics, wins incremental spending from customers when ROAS targets are met. Successful user acquisition expands our training data and consequently improves the performance of our Cortex models. As our models improve, our customers’ advertising outcomes improve accordingly. This increased performance drives measurable growth and therefore synchronously drives additional spending from our customers. As we continue to improve outcomes and launch new products, we believe there is significant opportunity to grow revenue from existing customers. A recent independent third-party survey conducted by Altman Solon as reflected in the Altman Solon Report, shows this elasticity in practice with 87% of advertisers indicating willingness to increase budgets at the lowest performance threshold surveyed (10% KPI over expected performance) increasing to 100% as performance increases (30% KPI over expected performance).</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Acquisition of New Customers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future success relies in part on our ability to acquire new customers. We believe that there is a substantial opportunity to grow our customer base because we have what we believe to be the best-in-class mobile growth enablement solutions that will be increasingly in demand as mobile growth continues to be a critical part of nearly every enterprise’s strategy. We believe our early and scaled leadership in non-gaming verticals positions us well to capture secular trends as more digital budgets shift toward performance-based advertising and as new app categories emerge. Additionally, we believe we are well-positioned to expand our presence in regions where mobile adoption is rapidly accelerating. This is evidenced by approximately 60% of our revenue coming from outside of the Americas for both the three and six months ended June 30, 2026. Our global direct sales force is organized by regional teams covering all major markets, which enables us to tailor our GTM efforts to regional trends. We plan to continue investing in our sales and marketing efforts, which may impact our margins and profitability in the near-term as we invest in future growth.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Continued Investment in Technology Innovation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ability to deliver effective performance-based mobile advertising solutions depends heavily on our continued investment in AI infrastructure, data science, and bidding optimization. The recent migration from our legacy tech stack to Cortex, which integrates neural networks and machine learning to enhance campaign targeting, pricing, and conversion outcomes, illustrates our focus on innovation as a competitive differentiator. With this migration our performance will automatically increase over time as our models self-learn and improve on top of that as we make additional advancements. Innovation remains critical as it fuels our growth with strong performance for our advertiser customers and enables us to address evolving advertiser objectives, privacy frameworks, and competitive dynamics across the mobile ecosystem.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Accordingly, since we transitioned from our legacy linear regression models to Cortex from the fourth quarter of 2023 through early 2025 we substantially completed the migration of our legacy advertising technology platforms to Cortex, our next-generation technology stack. Cortex leverages advanced machine learning and AI capabilities to enhance campaign recommendations and optimize ad bidding performance. The migration did not result in changes to customer-facing interfaces or performance obligations.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Talent Acquisition and Operational Scaling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team is a key enabler of our platform and growth. As we scale Cortex and expand our customer relationships, we expect to continue hiring across engineering, data science, GTM, and operations. Additionally, we anticipate increased general and administrative expenses as a result of becoming a public company. We may also pursue team or company acquisitions to accelerate development in strategic product areas or enter new markets.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Seasonality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our solutions are critical to our customers’ operations and are often treated as a core, performance-driven investment. Given our broad exposure to the app economy, while individual customers may have seasonal trends, we are not overexposed to any significant intra-year seasonal trends.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Macroeconomic Conditions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Broader economic conditions—including changes in interest rates, inflation, global ad spend, or app store policies—can influence advertiser behavior and publisher monetization. In particular, uncertainty around economic growth, digital marketing budgets, and user acquisition costs may lead to shifts in campaign strategy or volume. Geopolitical factors, regulatory changes (e.g., privacy or data attribution rules), or platform-level shifts from mobile operating systems can also impact advertiser performance and engagement. These factors may affect our growth, pricing power, or margins. Additionally, tensions between the United States and China, including tariffs and regulatory actions, may increase market uncertainty and negatively impact advertiser demand and business performance. </w:t>
      </w:r>
    </w:p>
    <w:p>
      <w:pPr>
        <w:pStyle w:val="TextBody"/>
        <w:bidi w:val="0"/>
        <w:spacing w:before="0" w:after="0"/>
        <w:ind w:left="0" w:right="0" w:firstLine="49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Impact of One Big Beautiful Bill Act (“OBBBA”)</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tax regimes we are subject to or operate under, including income and non-income taxes, are unsettled and may be subject to significant change. Changes in tax laws or tax rulings, or changes in interpretations of existing laws, could materially affect our financial position, results of operations, and cash flows. For example, the OBBBA was enacted in July 2025. The Company is currently evaluating the provisions of the OBBBA and their potential impact on its condensed consolidated financial statements, including cash taxes and its effective tax rate. Due to the complexity and timing of the enactment, the Company will continue to assess the impact of the OBBBA, including any interpretive guidance that may be issued by the U.S. Department of the Treasury or the Internal Revenue Service. Based on the assessment in the second quarter of 2026, there was no material impact to our income tax expense or effective tax rate.</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Public Company Costs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our IPO, we incurred significant one-off costs such as accounting and other third-party fees which we recorded in general and administrative expenses on the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a result of becoming a public company, we expect to incur ongoing additional costs, including but not limited to personnel, legal, consulting, regulatory, insurance, accounting, investor relations, and other expenses that we did not incur as a private company. The Sarbanes-Oxley Act of 2002, as well as rules adopted by the SEC and Nasdaq, requires public companies to implement specified corporate governance, disclosure controls and internal controls practices which we expect to increase our legal, regulatory, financial and insurance compliance costs and will make some activities more time-consuming and costly.</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General Atlantic Investment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June 30, 2025, General Atlantic acquired an approximate 14.5% minority stake, on a fully diluted basis, in the Company in the form of 425,000 shares of Series A Redeemable Convertible Preferred Stock, par value $0.0001 per share (the “Series A Redeemable Convertible Preferred Stock”), for a total cash consideration of $425.0 million. This investment was effected legally through a secondary purchase of (a) approximately 22.8 million shares of outstanding common equity from existing stockholders and (b) 1.8 million vested NSOs and SARs from employees of the Company ((a) and (b) together, the “2025 Equity Transactions”). The acquired common shares of 22.8 million were exchanged for 401,626 shares of Series A Redeemable Convertible Preferred Stock while a total of 23,374 shares of Series A Redeemable Convertible Preferred Stock were issued against the repurchase of 1.8 million vested options and SARs. The shares of repurchased common stock were retired.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IPO, the Series A Redeemable Convertible Preferred Stock, by its terms, automatically converted into 24.0 million shares of our common stock at a conversion rate of 56.4972 shares per preferred share. In the event the Company makes a payment in respect of its existing earn-out obligations subsequent to conversion, the Company will deliver an incremental number of shares of common stock to those shareholders who held the Series A Redeemable Convertible Preferred Stock at the time they were converted into common stock prior to such earn-out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obligation payment, subject to certain transfer rules and limitations, equal to the number of shares of common stock such former holders of Series A Redeemable Convertible Preferred Stock would have incrementally been entitled to upon conversion of such shares of Series A Redeemable Convertible Preferred Stock, had such earn-out payment been made by the Company prior to the conversion of such shares of Series A Redeemable Convertible Preferred Stock. If the earn-out obligation is earned in full and our stock is valued at that time at $24.02, which is the closing sales price of our shares of common stock on June 30, 2026, as reported on Nasdaq, we would have to issue 497,937 shares of common stock in satisfaction of our obligation to such former holders of Series A Redeemable Convertible Preferred Stock. See Note 5. Fair Value Disclosures to our condensed consolidated financial statements included elsewhere in this Quarterly Report for further details.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as one operating and reportable segment.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generate revenue by facilitating advertisers’ purchase of digital advertising inventory through our platform. Our platform provides bidding and matching solutions that enable the placement of advertisers’ advertisements into publisher-owned inventory.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recognize revenue at a point in time when the agreed-upon actions have been completed or the advertisement has been successfully displayed to a user. The amount of revenue recognized is based on the number of completions of agreed upon actions, such as user installations and impressions, or advertisements displayed and the contractually agreed price per advertising unit with customers, net of any consideration payable to publishers or third parties providing access to publisher inventory. Because we do not control the advertising inventory and are not primarily responsible for fulfillment, we act as an agent in these transactions and therefore report revenue on a net basis.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Cost of revenue, excluding depreciation and amortization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Cost of revenue, excluding depreciation and amortization, consists primarily of expenses incurred to deliver our advertising solutions to customers. These costs include server and data center hosting expenses and personnel-related expenses such as salaries, bonuses, employee benefits, stock-based compensation for members of our operations teams who support campaign delivery and platform functionality, and allocated facilities and information technology costs.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expect our cost of revenue, excluding depreciation and amortization, to increase in absolute dollars over the long term as our business and revenue continue to grow.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General and administrative </w:t>
      </w:r>
    </w:p>
    <w:p>
      <w:pPr>
        <w:pStyle w:val="TextBody"/>
        <w:bidi w:val="0"/>
        <w:spacing w:before="0" w:after="0"/>
        <w:ind w:left="0" w:right="0" w:hanging="45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costs incurred to support our business operations, including personnel-related expenses such as salaries, bonuses, employee benefits, and stock-based compensation for employees engaged in these activities. General and administrative expenses also include costs associated with third-party professional services such as consulting, legal, accounting fees, general employee-related expenses such as company travel, and allocated facilities and information technology costs.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plan to continue to invest in our general and administrative function to support the growth of our business. Additionally, we expect to incur certain non-recurring professional fees and other expenses as part of our transition to becoming a publicly traded company, which we generally expect to be recorded as general and administrative expenses. Following the completion of our IPO on June 5, 2026, we have incurred, and expect to continue to incur additional expenses as a result of operating as a public company, including costs to comply with rules and regulations applicable to companies listed on a U.S. securities exchange, costs related to compliance and reporting obligations pursuant to the rules and regulations of the SEC, investor relations and professional services. As a result, we expect general and administrative expenses to increase in absolute dollars.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Research and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incurred to design, develop, and enhance our platform, including personnel-related expenses such as salaries, bonuses, employee benefits, and stock-based compensation for employees engaged in these activities. Research and development expenses also include costs associated with software (inclusive of machine learning enhancements), information technology infrastructure related to the ongoing development and maintenance of internal-use software, third-party consulting services, and allocated facilities and information technology costs.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expect to continue to invest in research and development to develop our technology platform to drive incremental value and growth. As a result, we expect research and development expenses to increase in absolute dollars.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Sales and marketing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Sales and marketing expenses consist primarily of personnel-related expenses such as salaries, commissions, bonuses, employee benefits, and stock-based compensation for employees engaged in sales, marketing, and relationship management functions. Sales and marketing expenses also include costs associated with marketing programs, such as online advertising, branding campaigns, customer events, other promotional activities aimed at acquiring and retaining advertisers and publishers, and allocated facilities and information technology costs.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expect sales and marketing expenses to increase in absolute dollars but decline as a percentage of revenue in future periods. Sales and marketing expenses as a percentage of revenue may fluctuate from period to period due to changes in investment timing, customer acquisition dynamics, and intra-year seasonality of costs.</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Depreciation and amortization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depreciate and amortize property and equipment, including capitalized internal-use software, computer equipment, leasehold improvements, furniture and fixtures, developed technology, trademarks, and other definite-lived intangible assets.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Depreciation and amortization expense may fluctuate over time depending on the timing and volume of capital expenditures, the capitalization of internally developed software, and changes in our acquired intangible asset base due to business combinations or impairment assessments. Additionally, we periodically review our long-lived assets for indicators of impairment and may record accelerated amortization or write-downs when warranted.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Interest expense, net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expense, net consists primarily of expenses associated with our outstanding debt, including accretion of debt discount, and changes in fair value of interest rate swaps accounted for as a cash flow hedge related to the stream of variable interest payments associated with a portion of our outstanding debt.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Post-conversion earnout share liability revaluation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post-conversion earnout share liability revaluation consists of derivative liabilities that are remeasured at each reporting period at fair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determined the fair value of the post-conversion earnout share liability by using a Monte Carlo simulation analysis to quantify the estimated liabilities as of the report date, and, as the overall arrangement is long-term in nature, applying a discount rate that captures the risks associated with the payment of the obligations.</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significant unobservable inputs used in the fair value measurements are estimates of Liftoff’s equity value prior to the IPO, the volatility of Liftoff’s equity, timing to expected liquidity event, and probability of expected liquidity event.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Contingent consideration revaluation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Contingent consideration revaluation reflects changes in the fair value of an earn-out liability associated with a prior business combination. This liability is measured at fair value each reporting period and may fluctuate due to changes in assumptions such as forecasted financial performance, timing of liquidity events, volatility, discount rates, and other market-based inputs. The contingent consideration is payable once our majority stockholder disposes of all of their common shares or once they reach a targeted return on invested capital.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revaluation is a non-cash expense that does not impact our operating results or cash flows, but it can introduce volatility to our net income or loss in future periods. We expect periodic remeasurements to continue until the related contingent consideration obligation is settled.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Loss on debt extinguishment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prepayment of principal under the Term Loan Facility of $409.2 million, the Company recognized a loss on extinguishment of debt of approximately $7.4 million, which consisted of a write-off of unamortized issuance costs.</w:t>
      </w:r>
    </w:p>
    <w:p>
      <w:pPr>
        <w:pStyle w:val="TextBody"/>
        <w:bidi w:val="0"/>
        <w:spacing w:lineRule="auto" w:line="288" w:before="0" w:after="0"/>
        <w:ind w:left="0" w:right="0" w:firstLine="490"/>
        <w:jc w:val="left"/>
        <w:rPr>
          <w:rFonts w:ascii="Arial;sans-serif" w:hAnsi="Arial;sans-serif"/>
          <w:b/>
          <w:i/>
          <w:color w:val="000000"/>
          <w:sz w:val="20"/>
        </w:rPr>
      </w:pPr>
      <w:r>
        <w:rPr>
          <w:rFonts w:ascii="Arial;sans-serif" w:hAnsi="Arial;sans-serif"/>
          <w:b/>
          <w:i/>
          <w:color w:val="000000"/>
          <w:sz w:val="20"/>
        </w:rPr>
        <w:t>Other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(expense) income, net consists primarily of foreign currency exchange gains and losses relating to transactions denominated in currencies other than the U.S. dollar. </w:t>
      </w:r>
    </w:p>
    <w:p>
      <w:pPr>
        <w:pStyle w:val="TextBody"/>
        <w:bidi w:val="0"/>
        <w:spacing w:before="0" w:after="0"/>
        <w:jc w:val="left"/>
        <w:rPr/>
      </w:pPr>
      <w:r>
        <w:rPr/>
      </w:r>
    </w:p>
    <w:p>
      <w:pPr>
        <w:pStyle w:val="TextBody"/>
        <w:bidi w:val="0"/>
        <w:spacing w:lineRule="auto" w:line="288" w:before="28" w:after="283"/>
        <w:ind w:left="0" w:right="0" w:hanging="50"/>
        <w:jc w:val="left"/>
        <w:rPr>
          <w:rFonts w:ascii="Arial;sans-serif" w:hAnsi="Arial;sans-serif"/>
          <w:b/>
          <w:i/>
          <w:color w:val="000000"/>
          <w:sz w:val="20"/>
        </w:rPr>
      </w:pPr>
      <w:r>
        <w:rPr>
          <w:rFonts w:ascii="Arial;sans-serif" w:hAnsi="Arial;sans-serif"/>
          <w:b/>
          <w:i/>
          <w:color w:val="000000"/>
          <w:sz w:val="20"/>
        </w:rPr>
        <w:t>Income tax (expense) benefit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subject to income taxes in the United States and various foreign jurisdictions in which it does business. Additionally, certain foreign earnings may also be taxable in the United States. Accordingly, our effective tax rate will vary depending on the jurisdictional mix of income or loss before income taxes, changes in tax laws, and future changes in our assessment of the ability to realize our deferred tax assets.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Realization of our deferred tax assets is dependent primarily on the generation of future taxable income. In considering the need for a valuation allowance,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has accounted for OBBBA tax measures which took effect in 2026 on its condensed consolidated financial statements, including cash taxes and its effective tax rate. Based on the assessment in the second quarter of 2026, there was no material impact to our income tax expense or effective tax rate for the quarter ended June 30, 2026 and we do not expect the impact to be material to our full year 2026 effective tax rate. Due to the complexity and timing of the enactment, the Company will continue to assess the impact of the OBBBA, including any interpretive guidance that may be issued by the U.S. Department of the Treasury or the Internal Revenue Service.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Comparison of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Comparison of the Three Months Ended June 30, 2026 and the Three Months Ended June 30, 2025</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for the periods indicated, selected condensed consolidated statements of operations data and the period-over-period change expressed in a dollar amount and as a percentage. Historical results are not necessarily indicative of the results expected for any future period. Variances that are not meaningful (“NM”) are not presented in the table below. </w:t>
      </w:r>
    </w:p>
    <w:p>
      <w:pPr>
        <w:pStyle w:val="TextBody"/>
        <w:bidi w:val="0"/>
        <w:spacing w:before="0" w:after="0"/>
        <w:ind w:left="0" w:right="0" w:firstLine="490"/>
        <w:jc w:val="left"/>
        <w:rPr/>
      </w:pPr>
      <w:r>
        <w:rPr/>
      </w:r>
    </w:p>
    <w:tbl>
      <w:tblPr>
        <w:tblW w:w="10055" w:type="dxa"/>
        <w:jc w:val="left"/>
        <w:tblInd w:w="0" w:type="dxa"/>
        <w:tblLayout w:type="fixed"/>
        <w:tblCellMar>
          <w:top w:w="28" w:type="dxa"/>
          <w:left w:w="28" w:type="dxa"/>
          <w:bottom w:w="28" w:type="dxa"/>
          <w:right w:w="28" w:type="dxa"/>
        </w:tblCellMar>
      </w:tblPr>
      <w:tblGrid>
        <w:gridCol w:w="1727"/>
        <w:gridCol w:w="1517"/>
        <w:gridCol w:w="1525"/>
        <w:gridCol w:w="109"/>
        <w:gridCol w:w="343"/>
        <w:gridCol w:w="390"/>
        <w:gridCol w:w="391"/>
        <w:gridCol w:w="343"/>
        <w:gridCol w:w="397"/>
        <w:gridCol w:w="398"/>
        <w:gridCol w:w="435"/>
        <w:gridCol w:w="337"/>
        <w:gridCol w:w="339"/>
        <w:gridCol w:w="315"/>
        <w:gridCol w:w="315"/>
        <w:gridCol w:w="316"/>
        <w:gridCol w:w="109"/>
        <w:gridCol w:w="109"/>
        <w:gridCol w:w="109"/>
        <w:gridCol w:w="531"/>
      </w:tblGrid>
      <w:tr>
        <w:trPr/>
        <w:tc>
          <w:tcPr>
            <w:tcW w:w="172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9" w:type="dxa"/>
            <w:gridSpan w:val="12"/>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i/>
                <w:color w:val="000000"/>
                <w:sz w:val="18"/>
              </w:rPr>
            </w:pPr>
            <w:r>
              <w:rPr>
                <w:rFonts w:ascii="Arial;sans-serif" w:hAnsi="Arial;sans-serif"/>
                <w:b/>
                <w:i/>
                <w:color w:val="000000"/>
                <w:sz w:val="18"/>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2025</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219,505</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162,084</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57,421</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29,033</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25,455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3,578</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34,991</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58,391</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(23,400)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34,513</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36,925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(2,412)</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20,594</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16,149</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4,445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22,963</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25,120</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(2,157)</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142,094</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162,040</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(19,946)</w:t>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77,411</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77,367</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(33,339)</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(30,038)</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(3,301)</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(7,366)</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(7,366)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(17,529)</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3,300</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(20,829)</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(1,137)</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1,051</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19,230</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(27,831)</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47,061</w:t>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(23,461)</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4,048</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(27,509)</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(4,231)</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(23,783)</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19,552</w:t>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components of our condensed consolidated statements of operations for the periods presented as a percentage of revenue: </w:t>
      </w:r>
    </w:p>
    <w:tbl>
      <w:tblPr>
        <w:tblW w:w="9669" w:type="dxa"/>
        <w:jc w:val="left"/>
        <w:tblInd w:w="0" w:type="dxa"/>
        <w:tblLayout w:type="fixed"/>
        <w:tblCellMar>
          <w:top w:w="28" w:type="dxa"/>
          <w:left w:w="28" w:type="dxa"/>
          <w:bottom w:w="28" w:type="dxa"/>
          <w:right w:w="28" w:type="dxa"/>
        </w:tblCellMar>
      </w:tblPr>
      <w:tblGrid>
        <w:gridCol w:w="1723"/>
        <w:gridCol w:w="1515"/>
        <w:gridCol w:w="1531"/>
        <w:gridCol w:w="109"/>
        <w:gridCol w:w="109"/>
        <w:gridCol w:w="109"/>
        <w:gridCol w:w="1313"/>
        <w:gridCol w:w="1313"/>
        <w:gridCol w:w="199"/>
        <w:gridCol w:w="199"/>
        <w:gridCol w:w="201"/>
        <w:gridCol w:w="199"/>
        <w:gridCol w:w="199"/>
        <w:gridCol w:w="201"/>
        <w:gridCol w:w="109"/>
        <w:gridCol w:w="109"/>
        <w:gridCol w:w="531"/>
      </w:tblGrid>
      <w:tr>
        <w:trPr/>
        <w:tc>
          <w:tcPr>
            <w:tcW w:w="172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599"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r>
              <w:rPr>
                <w:rFonts w:ascii="Arial;sans-serif" w:hAnsi="Arial;sans-serif"/>
                <w:b w:val="false"/>
                <w:color w:val="000000"/>
                <w:sz w:val="18"/>
              </w:rPr>
              <w:t>%</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r>
              <w:rPr>
                <w:rFonts w:ascii="Arial;sans-serif" w:hAnsi="Arial;sans-serif"/>
                <w:b w:val="false"/>
                <w:color w:val="000000"/>
                <w:sz w:val="18"/>
              </w:rPr>
              <w:t>%</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Revenue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Revenue for the three months ended June 30, 2026 increased by $57.4 million, or 35%, to $219.5 million, compared to $162.1 million for the three months ended June 30, 2025. The increase was driven by growth from our Core Advertising platform due to improved performance delivered by Cortex. Core Advertising growth was driven 58% by expansion from existing customers and 42% by new customers acquired over the past twelve months. This reflects increased customer spending as the market grew and performance improved through ongoing product enhancements, driving higher revenue on the Core Advertising platform. For the three months ended June 30, 2025, Core Advertising revenue represented approximately 99% of our total revenue and increased to approximately 100% of our total revenue for the three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Cost of revenue, excluding depreciation and amortization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Cost of revenue, excluding depreciation and amortization for the three months ended June 30, 2026 increased by $3.6 million, or 14%, to $29.0 million, compared to $25.5 million for the three months ended June 30, 2025. The increase was primarily driven by a $3.4 million increase in infrastructure and bidding fees associated with higher volume through our platform.</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General and administrative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for the three months ended June 30, 2026, decreased by $23.4 million, or 40%, to $35.0 million, compared to $58.4 million for the three months ended June 30, 2025. The decrease was primarily driven by $39.5 million in fees, services, and bonuses incurred in the three months ended June 30, 2025, related to the General Atlantic minority investment. This was partially offset by $15.1 million of higher personnel-related expenses consisting of $13.7 million in stock-based compensation and $1.4 million in wages, and $4.2 million in costs in preparation of becoming a public company which were not capitalizable.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for the three months ended June 30, 2026, decreased by $2.4 million, or 7%, to $34.5 million, compared to $36.9 million for the three months ended June 30, 2025. The decrease was primarily driven by $7.9 million of stock-based compensation expense incurred in the three months ended June 30, 2025, related to the General Atlantic investment. This was partially offset by $2.4 million of investment in Cortex compute infrastructure and $3.8 million in personnel-related expenses. Change in personnel-related expenses was primarily driven by increases of $4.7 million in stock-based compensation and $2.1 million in wages, which were partially offset by a $3.2 million increase in capitalized software expenses.</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Sales and marketing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Sales and marketing expenses for the three months ended June 30, 2026, increased by $4.4 million, or 28%, to $20.6 million, compared to $16.1 million for the three months ended June 30, 2025. The increase was primarily driven by $3.3 million in higher personnel-related expenses consisting of $2.0 million in stock-based compensation and $1.1 million in wages.</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Depreciation and amortization for the three months ended June 30, 2026 decreased by $2.2 million, or 9%, to $23.0 million, compared to $25.1 million for three months ended June 30, 2025. The decrease was primarily attributable to a $5.3 million decrease in amortization expense as certain acquired intangible assets became fully amortized, partially offset by a $3.1 million increase in amortization expense on capitalized software assets.</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expense, net for the three months ended June 30, 2026 increased by $3.3 million, or 11%, to $33.3 million, compared to $30.0 million for the three months ended June 30, 2025. The increase was primarily driven by a $2.6 million decrease in interest income on hedges, driven by lower interest rates relative to our fixed-rate interest rate swaps and a $2.2 million increase in interest expense associated with the incremental borrowing under the amended credit facility in September 2025, partially offset by a $1.1 million increase in interest earned on deposits due to higher cash balances.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Post-conversion earnout share liability revaluation</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Post-conversion earnout share liability revaluation for the three months ended June 30, 2026 was a $0.1 million gain, which was primarily driven by dilution to the former holder of the Company’s Series A Redeemable Convertible Preferred Stock as a result of the IPO, which is a key input into the valuation model.</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Contingent consideration revaluation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Contingent consideration revaluation for the three months ended June 30, 2026 was a $17.5 million loss, compared to a $3.3 million gain for the three months ended June 30, 2025. The increase in the revaluation loss was primarily driven by an increase in the value of the Company during the three months ended June 30, 2026, as compared to a decrease in the value of the Company during the three months ended June 30, 2025, which is a key input into the valuation model.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Loss on debt extinguishment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Loss on debt extinguishment for the three months ended June 30, 2026 was $7.4 million, which consisted of a write-off of unamortized issuance costs related to the prepayment of $409.2 million in aggregate principal of the Term Loan Facility in June 2026. There was no loss on debt extinguishment recorded in the three months ended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Other (expense) income, net for three months ended June 30, 2026 decreased by $1.1 million, or 92%, to $(0.1) million, compared to $(1.1) million for three months ended June 30, 2025. The decrease was primarily driven by a $0.4 million decrease in realized losses and a $0.6 million decrease in unrealized losses.</w:t>
      </w:r>
    </w:p>
    <w:p>
      <w:pPr>
        <w:pStyle w:val="TextBody"/>
        <w:bidi w:val="0"/>
        <w:spacing w:before="0" w:after="0"/>
        <w:ind w:left="0" w:right="0" w:firstLine="490"/>
        <w:jc w:val="left"/>
        <w:rPr/>
      </w:pPr>
      <w:r>
        <w:rPr/>
      </w:r>
    </w:p>
    <w:p>
      <w:pPr>
        <w:pStyle w:val="TextBody"/>
        <w:bidi w:val="0"/>
        <w:spacing w:lineRule="auto" w:line="288" w:before="28" w:after="283"/>
        <w:ind w:left="0" w:right="0" w:hanging="50"/>
        <w:jc w:val="left"/>
        <w:rPr>
          <w:rFonts w:ascii="Arial;sans-serif" w:hAnsi="Arial;sans-serif"/>
          <w:b w:val="false"/>
          <w:i/>
          <w:color w:val="000000"/>
          <w:sz w:val="20"/>
        </w:rPr>
      </w:pPr>
      <w:r>
        <w:rPr>
          <w:rFonts w:ascii="Arial;sans-serif" w:hAnsi="Arial;sans-serif"/>
          <w:b w:val="false"/>
          <w:i/>
          <w:color w:val="000000"/>
          <w:sz w:val="20"/>
        </w:rPr>
        <w:t>Income tax (expense) benefit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For the three months ended June 30, 2026, the Company recorded income tax expense of $23.5 million, resulting in an effective tax rate of 122.0%. Income tax expense increased by $27.5 million while the effective tax rate increased by 107.5 pts, when compared to $4.0 million of income tax benefit and effective tax rate of 14.5% for the three months ended June 30, 2025. The increase in income tax expense was primarily driven by limitations on the deductibility of stock-based compensation for executive officers following the Company’s transition to public company status and the remeasurement of certain deferred tax liabilities in foreign jurisdictions. Also in the three months ended June 30, 2025, there was a discrete compensation benefit as a result of the General Atlantic investment.</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Comparison of the Six Months Ended June 30, 2026 and the Six Months Ended June 30, 2025</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selected condensed consolidated statements of operations data and the period-over-period change expressed in a dollar amount and as a percentage. Historical results are not necessarily indicative of the results expected for any future period. Variances that are not meaningful (“NM”) are not presented in the table below.</w:t>
      </w:r>
    </w:p>
    <w:tbl>
      <w:tblPr>
        <w:tblW w:w="10205" w:type="dxa"/>
        <w:jc w:val="left"/>
        <w:tblInd w:w="0" w:type="dxa"/>
        <w:tblLayout w:type="fixed"/>
        <w:tblCellMar>
          <w:top w:w="28" w:type="dxa"/>
          <w:left w:w="28" w:type="dxa"/>
          <w:bottom w:w="28" w:type="dxa"/>
          <w:right w:w="28" w:type="dxa"/>
        </w:tblCellMar>
      </w:tblPr>
      <w:tblGrid>
        <w:gridCol w:w="1555"/>
        <w:gridCol w:w="1331"/>
        <w:gridCol w:w="1338"/>
        <w:gridCol w:w="109"/>
        <w:gridCol w:w="109"/>
        <w:gridCol w:w="336"/>
        <w:gridCol w:w="336"/>
        <w:gridCol w:w="336"/>
        <w:gridCol w:w="667"/>
        <w:gridCol w:w="383"/>
        <w:gridCol w:w="398"/>
        <w:gridCol w:w="258"/>
        <w:gridCol w:w="392"/>
        <w:gridCol w:w="399"/>
        <w:gridCol w:w="435"/>
        <w:gridCol w:w="389"/>
        <w:gridCol w:w="392"/>
        <w:gridCol w:w="303"/>
        <w:gridCol w:w="303"/>
        <w:gridCol w:w="436"/>
      </w:tblGrid>
      <w:tr>
        <w:trPr/>
        <w:tc>
          <w:tcPr>
            <w:tcW w:w="155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307" w:type="dxa"/>
            <w:gridSpan w:val="9"/>
            <w:tcBorders/>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i/>
                <w:color w:val="000000"/>
                <w:sz w:val="18"/>
              </w:rPr>
            </w:pPr>
            <w:r>
              <w:rPr>
                <w:rFonts w:ascii="Arial;sans-serif" w:hAnsi="Arial;sans-serif"/>
                <w:b/>
                <w:i/>
                <w:color w:val="000000"/>
                <w:sz w:val="18"/>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2025</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425,147</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312,053</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113,094</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57,018</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48,963</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8,055</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16%</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59,834</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79,113</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(19,279)</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(24)%</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61,887</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57,849</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4,038</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7%</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38,329</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30,411</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7,918</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26%</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44,731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50,672</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(5,941)</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w:t>
            </w:r>
          </w:p>
        </w:tc>
      </w:tr>
      <w:tr>
        <w:trPr/>
        <w:tc>
          <w:tcPr>
            <w:tcW w:w="4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ind w:left="0" w:right="0" w:firstLine="400"/>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261,799</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267,008</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(5,209)</w:t>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400"/>
              <w:jc w:val="right"/>
              <w:rPr>
                <w:rFonts w:ascii="Arial;sans-serif" w:hAnsi="Arial;sans-serif"/>
                <w:b w:val="false"/>
                <w:color w:val="000000"/>
                <w:sz w:val="18"/>
              </w:rPr>
            </w:pPr>
            <w:r>
              <w:rPr>
                <w:rFonts w:ascii="Arial;sans-serif" w:hAnsi="Arial;sans-serif"/>
                <w:b w:val="false"/>
                <w:color w:val="000000"/>
                <w:sz w:val="18"/>
              </w:rPr>
              <w:t>(2)%</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163,348</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45,045</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118,303</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263%</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(68,314)</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(59,642)</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(8,672)</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15%</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(7,366)</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(7,366)</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(100)%</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(100)%</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(12,629)</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(5,100)</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18"/>
              </w:rPr>
            </w:pPr>
            <w:r>
              <w:rPr>
                <w:rFonts w:ascii="Arial;sans-serif" w:hAnsi="Arial;sans-serif"/>
                <w:b w:val="false"/>
                <w:color w:val="000000"/>
                <w:sz w:val="18"/>
              </w:rPr>
              <w:t>148%</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(992)</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794</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400"/>
              <w:jc w:val="right"/>
              <w:rPr>
                <w:rFonts w:ascii="Arial;sans-serif" w:hAnsi="Arial;sans-serif"/>
                <w:b w:val="false"/>
                <w:color w:val="000000"/>
                <w:sz w:val="18"/>
              </w:rPr>
            </w:pPr>
            <w:r>
              <w:rPr>
                <w:rFonts w:ascii="Arial;sans-serif" w:hAnsi="Arial;sans-serif"/>
                <w:b w:val="false"/>
                <w:color w:val="000000"/>
                <w:sz w:val="18"/>
              </w:rPr>
              <w:t>(80)%</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77,516</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(20,689)</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98,205</w:t>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400"/>
              <w:jc w:val="right"/>
              <w:rPr>
                <w:rFonts w:ascii="Arial;sans-serif" w:hAnsi="Arial;sans-serif"/>
                <w:b w:val="false"/>
                <w:color w:val="000000"/>
                <w:sz w:val="18"/>
              </w:rPr>
            </w:pPr>
            <w:r>
              <w:rPr>
                <w:rFonts w:ascii="Arial;sans-serif" w:hAnsi="Arial;sans-serif"/>
                <w:b w:val="false"/>
                <w:color w:val="000000"/>
                <w:sz w:val="18"/>
              </w:rPr>
              <w:t>NM</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(32,416)</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(33,190)</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400"/>
              <w:jc w:val="right"/>
              <w:rPr>
                <w:rFonts w:ascii="Arial;sans-serif" w:hAnsi="Arial;sans-serif"/>
                <w:b w:val="false"/>
                <w:color w:val="000000"/>
                <w:sz w:val="18"/>
              </w:rPr>
            </w:pPr>
            <w:r>
              <w:rPr>
                <w:rFonts w:ascii="Arial;sans-serif" w:hAnsi="Arial;sans-serif"/>
                <w:b w:val="false"/>
                <w:color w:val="000000"/>
                <w:sz w:val="18"/>
              </w:rPr>
              <w:t>NM</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45,100</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(19,915)</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65,015</w:t>
            </w:r>
          </w:p>
        </w:tc>
        <w:tc>
          <w:tcPr>
            <w:tcW w:w="10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components of our condensed consolidated statements of operations for the periods presented as a percentage of revenue: </w:t>
      </w:r>
    </w:p>
    <w:tbl>
      <w:tblPr>
        <w:tblW w:w="9761" w:type="dxa"/>
        <w:jc w:val="left"/>
        <w:tblInd w:w="0" w:type="dxa"/>
        <w:tblLayout w:type="fixed"/>
        <w:tblCellMar>
          <w:top w:w="28" w:type="dxa"/>
          <w:left w:w="28" w:type="dxa"/>
          <w:bottom w:w="28" w:type="dxa"/>
          <w:right w:w="28" w:type="dxa"/>
        </w:tblCellMar>
      </w:tblPr>
      <w:tblGrid>
        <w:gridCol w:w="1723"/>
        <w:gridCol w:w="1515"/>
        <w:gridCol w:w="1531"/>
        <w:gridCol w:w="109"/>
        <w:gridCol w:w="109"/>
        <w:gridCol w:w="109"/>
        <w:gridCol w:w="109"/>
        <w:gridCol w:w="1200"/>
        <w:gridCol w:w="1200"/>
        <w:gridCol w:w="109"/>
        <w:gridCol w:w="233"/>
        <w:gridCol w:w="233"/>
        <w:gridCol w:w="292"/>
        <w:gridCol w:w="233"/>
        <w:gridCol w:w="233"/>
        <w:gridCol w:w="292"/>
        <w:gridCol w:w="531"/>
      </w:tblGrid>
      <w:tr>
        <w:trPr/>
        <w:tc>
          <w:tcPr>
            <w:tcW w:w="172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047" w:type="dxa"/>
            <w:gridSpan w:val="7"/>
            <w:tcBorders/>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2026</w:t>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2025</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Revenue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Revenue for the six months ended June 30, 2026 increased by $113.1 million, or 36%, to $425.1 million, compared to $312.1 million for the six months ended June 30, 2025. The increase was driven by growth from our Core Advertising platform due to improved performance delivered by Cortex. Core Advertising growth was driven 66% by expansion from existing customers and 34% by new customers acquired over the past twelve months. For the six months ended June 30, 2025, Core Advertising revenue represented approximately 99% of our total revenue and increased to approximately 100% of our total revenue for the six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Cost of revenue, excluding depreciation and amortization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Cost of revenue, excluding depreciation and amortization for the six months ended June 30, 2026 increased by $8.1 million, or 16%, to $57.0 million, compared to $49.0 million for the six months ended June 30, 2025. The increase was primarily driven by a $7.7 million increase in infrastructure and bidding fees associated with higher volume through our platform.</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General and administrative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for the six months ended June 30, 2026, decreased by $19.3 million, or 24% to $59.8 million, compared to $79.1 million for the six months ended June 30, 2025. The decrease was primarily driven by $39.5 million in fees, services, and bonuses related to the General Atlantic minority investment in the prior period, without a comparable transaction in the current period. This was partially offset by $16.8 million of higher personnel-related expenses, primarily stock-based compensation, and $6.0 million of costs incurred in preparation for becoming a public company in the current period which were not capitalizable.</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for the six months ended June 30, 2026, increased by $4.0 million or 7%, to $61.9 million, compared to $57.8 million for the six months ended June 30, 2025. The increase was primarily driven by $6.7 million of higher personnel-related expenses, due to increased headcount, wages, and stock-based compensation, partially offset by higher capitalized software costs, as well as $5.3 million of investment in Cortex compute infrastructure. This was partially offset by $7.9 million of stock-based compensation expense related to the General Atlantic investment recognized during the six months ended June 30, 2025.</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Sales and marketing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Sales and marketing expenses for the six months ended June 30, 2026, increased by $7.9 million, or 26%, to $38.3 million, compared to $30.4 million for the six months ended June 30, 2025. The increase was primarily driven by $5.8 million of higher personnel-related expenses, including wages and stock-based compensation.</w:t>
      </w:r>
    </w:p>
    <w:p>
      <w:pPr>
        <w:pStyle w:val="TextBody"/>
        <w:bidi w:val="0"/>
        <w:spacing w:before="0" w:after="0"/>
        <w:jc w:val="left"/>
        <w:rPr/>
      </w:pPr>
      <w:r>
        <w:rPr/>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Depreciation and amortization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Depreciation and amortization for the six months ended June 30, 2026 decreased by $5.9 million, or 12%, to $44.7 million, compared to $50.7 million for six months ended June 30, 2025. The decrease was primarily attributable to an $11.0 million decrease in amortization expense as certain acquired intangible assets became fully amortized, partially offset by a $5.1 million increase in amortization expense on capitalized software assets.</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Interest expense, net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expense, net for the six months ended June 30, 2026 increased by $8.7 million, or 15%, to $68.3 million, compared to $59.6 million for the six months ended June 30, 2025. The increase was primarily driven by a $4.9 million decrease in interest income on hedges, driven by lower interest rates relative to our fixed-rate interest rate swaps and a $5.6 million increase in interest expense associated with the incremental borrowing under the amended credit facility in September 2025, partially offset by a $1.0 million decrease in amortization of issuance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Post-conversion earnout share liability revaluation</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Post-conversion earnout share liability revaluation for the six months ended June 30, 2026 was a $2.7 million gain, which was primarily driven by dilution to the former holder of the Company’s Series A Redeemable Convertible Preferred Stock as a result of the IPO, which is a key input into the valuation model.</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Contingent consideration revaluation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Contingent consideration revaluation for the six months ended June 30, 2026 was a $12.6 million loss, compared to a $5.1 million loss for the six months ended June 30, 2025. The increase in the revaluation loss was primarily driven by a greater increase in the value of the Company during the six months ended June 30, 2026, as compared to the increase in the value of the Company during the six months ended June 30, 2025, which is a key input into the valuation model.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Loss on debt extinguishment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xml:space="preserve">Loss on debt extinguishment for the six months ended June 30, 2026 was $7.4 million, which consisted of a write-off of unamortized issuance costs related to the prepayment of $409.2 million in aggregate principal of the Term Loan Facility in June 2026. There was no loss on debt extinguishment recorded in the six months ended June 30, 2025. </w:t>
      </w:r>
    </w:p>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Other (expense) income, net for six months ended June 30, 2026 decreased by $0.8 million, or 80%, to $(0.2) million, compared to $(1.0) million for six months ended June 30, 2025. The decrease was primarily driven by a $0.9 million decrease in unrealized losses.</w:t>
      </w:r>
    </w:p>
    <w:p>
      <w:pPr>
        <w:pStyle w:val="TextBody"/>
        <w:bidi w:val="0"/>
        <w:spacing w:before="0" w:after="0"/>
        <w:ind w:left="0" w:right="0" w:firstLine="490"/>
        <w:jc w:val="left"/>
        <w:rPr/>
      </w:pPr>
      <w:r>
        <w:rPr/>
      </w:r>
    </w:p>
    <w:p>
      <w:pPr>
        <w:pStyle w:val="TextBody"/>
        <w:bidi w:val="0"/>
        <w:spacing w:lineRule="auto" w:line="288" w:before="28" w:after="283"/>
        <w:ind w:left="0" w:right="0" w:hanging="50"/>
        <w:jc w:val="left"/>
        <w:rPr>
          <w:rFonts w:ascii="Arial;sans-serif" w:hAnsi="Arial;sans-serif"/>
          <w:b w:val="false"/>
          <w:i/>
          <w:color w:val="000000"/>
          <w:sz w:val="20"/>
        </w:rPr>
      </w:pPr>
      <w:r>
        <w:rPr>
          <w:rFonts w:ascii="Arial;sans-serif" w:hAnsi="Arial;sans-serif"/>
          <w:b w:val="false"/>
          <w:i/>
          <w:color w:val="000000"/>
          <w:sz w:val="20"/>
        </w:rPr>
        <w:t>Income tax (expense) benefit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For the six months ended June 30, 2026, the Company recorded income tax expense of $32.4 million, resulting in an effective tax rate of 41.8%. Income tax expense increased by $33.2 million while the effective tax rate increased by 38.1 pts, when compared to $0.8 million of income tax benefit and effective tax rate of 3.7% for the six months ended June 30, 2025. The increase in income tax expense was primarily driven by higher global pretax income, new stock based compensation deduction limitations as a public company, the remeasurement of certain deferred tax liabilities in foreign jurisdictions, and an increase in anticipated valuation allowance.</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Non-GAAP Financial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Adjusted EBITDA and Adjusted EBITDA Margin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report our financial results in accordance with GAAP, however, management believes that Adjusted EBITDA and Adjusted EBITDA Margin, which are non-GAAP measures, provide users of our financial information with useful supplemental information enabling a comparison of our performance across periods. We believe Adjusted EBITDA and Adjusted EBITDA Margin provide visibility to the underlying continuing operating performance of our business. Management uses Adjusted EBITDA and Adjusted EBITDA Margin to evaluate and manage the performance of our business, make resource allocation decisions, and compensate key personnel as they provide further understanding with respect to the results of our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define Adjusted EBITDA as net income (loss) adjusted for interest expense, net, income tax expense, depreciation and amortization expense, stock-based compensation, other expenses, net, and further adjusted for certain items that impact comparison of the performance of our businesses either period-over period or with other businesses as more fully described below. We also disclose Adjusted EBITDA Margin, which is calculated as Adjusted EBITDA divided by revenue.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Our definitions may differ from the definitions used by other companies and therefore comparability may be limited. In addition, other companies may not publish these or similar metrics. Thus, our Adjusted EBITDA and Adjusted EBITDA Margin should be considered in addition to, not as substitutes for, or in isolation from, measures prepared in accordance with GAAP. Some of the limitations and other factors to consider include: </w:t>
      </w:r>
    </w:p>
    <w:p>
      <w:pPr>
        <w:pStyle w:val="TextBody"/>
        <w:bidi w:val="0"/>
        <w:spacing w:before="0" w:after="0"/>
        <w:ind w:left="0" w:right="0" w:firstLine="49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and Adjusted EBITDA Margin exclude the recurring, non-cash expenses of depreciation and amortization of property and equipment, capitalized internal-use software, and definite-lived intangible assets, and although these are non-cash expenses, the assets being depreciated and amortized may have to be replaced in the future;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and Adjusted EBITDA Margin do not reflect changes in or cash requirements for our working capital needs;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and Adjusted EBITDA Margin exclude stock-based compensation expense, which has been, and will continue to be for the foreseeable future, an important part of how we attract and retain our employees and a significant recurring expense 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and Adjusted EBITDA Margin do not reflect the interest expense, net or the cash requirements to service interest or principal payments on our indebtedness;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and Adjusted EBITDA Margin exclude the non-cash charges related to debt extinguishments, impairments of primarily capitalized internal-use software, and revaluation of contingent consideration, as these impact the comparability of our business across periods and do not relate to the continuing operating performance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and Adjusted EBITDA Margin exclude costs related to IPO, integration, non-recurring transactions and expenses, and reorganization severance costs, as these impact the comparability of our business across periods and do not relate to the continuing operating performance of our business;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0"/>
        </w:rPr>
        <w:t xml:space="preserve">Adjusted EBITDA and Adjusted EBITDA Margin do not reflect our income tax expense provision;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and Adjusted EBITDA Margin exclude other expenses, net, which primarily relate to non-operating foreign exchange gains and losses.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is not a liquidity measure and should not be considered as discretionary cash available to us to reinvest in the growth of our business or to distribute to stockholders or as a measure of cash that will be available to us to meet our obligations.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properly and prudently evaluate our business, we encourage you to review the financial statements included elsewhere in this Quarterly Report on Form 10-Q, and not rely on a single financial measure to evaluate our business. We also strongly urge you to review the reconciliation to the corresponding GAAP financial measures set forth in this Quarterly Report on Form 10-Q.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reconciles net income (loss) and net income (loss) margin, the most comparable GAAP financial measures to Adjusted EBITDA and Adjusted EBITDA Margin, respectively, for the periods presented: </w:t>
      </w:r>
    </w:p>
    <w:tbl>
      <w:tblPr>
        <w:tblW w:w="10205" w:type="dxa"/>
        <w:jc w:val="left"/>
        <w:tblInd w:w="0" w:type="dxa"/>
        <w:tblLayout w:type="fixed"/>
        <w:tblCellMar>
          <w:top w:w="28" w:type="dxa"/>
          <w:left w:w="28" w:type="dxa"/>
          <w:bottom w:w="28" w:type="dxa"/>
          <w:right w:w="28" w:type="dxa"/>
        </w:tblCellMar>
      </w:tblPr>
      <w:tblGrid>
        <w:gridCol w:w="1478"/>
        <w:gridCol w:w="1242"/>
        <w:gridCol w:w="1245"/>
        <w:gridCol w:w="109"/>
        <w:gridCol w:w="363"/>
        <w:gridCol w:w="251"/>
        <w:gridCol w:w="545"/>
        <w:gridCol w:w="187"/>
        <w:gridCol w:w="187"/>
        <w:gridCol w:w="187"/>
        <w:gridCol w:w="363"/>
        <w:gridCol w:w="220"/>
        <w:gridCol w:w="579"/>
        <w:gridCol w:w="109"/>
        <w:gridCol w:w="109"/>
        <w:gridCol w:w="109"/>
        <w:gridCol w:w="300"/>
        <w:gridCol w:w="218"/>
        <w:gridCol w:w="578"/>
        <w:gridCol w:w="155"/>
        <w:gridCol w:w="155"/>
        <w:gridCol w:w="155"/>
        <w:gridCol w:w="300"/>
        <w:gridCol w:w="179"/>
        <w:gridCol w:w="882"/>
      </w:tblGrid>
      <w:tr>
        <w:trPr/>
        <w:tc>
          <w:tcPr>
            <w:tcW w:w="14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i/>
                <w:color w:val="000000"/>
                <w:sz w:val="20"/>
              </w:rPr>
            </w:pPr>
            <w:r>
              <w:rPr>
                <w:rFonts w:ascii="Arial;sans-serif" w:hAnsi="Arial;sans-serif"/>
                <w:b/>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200"/>
              <w:jc w:val="center"/>
              <w:rPr>
                <w:rFonts w:ascii="Arial;sans-serif" w:hAnsi="Arial;sans-serif"/>
                <w:b/>
                <w:color w:val="000000"/>
                <w:sz w:val="20"/>
              </w:rPr>
            </w:pPr>
            <w:r>
              <w:rPr>
                <w:rFonts w:ascii="Arial;sans-serif" w:hAnsi="Arial;sans-serif"/>
                <w:b/>
                <w:color w:val="000000"/>
                <w:sz w:val="20"/>
              </w:rPr>
              <w:t>2025</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(19,915)</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59,642</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23,461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32,416</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(774)</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22,963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50,672</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28,223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34,834</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25,685</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17,529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5,100</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ind w:left="0" w:right="0" w:firstLine="200"/>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 xml:space="preserve">Other (expense) income, net </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992</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Reorganization severance costs </w:t>
            </w:r>
            <w:r>
              <w:rPr>
                <w:rFonts w:ascii="Arial;sans-serif" w:hAnsi="Arial;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592</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Transaction costs </w:t>
            </w:r>
            <w:r>
              <w:rPr>
                <w:rFonts w:ascii="Arial;sans-serif" w:hAnsi="Arial;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36,911</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Other non-recurring expenses </w:t>
            </w:r>
            <w:r>
              <w:rPr>
                <w:rFonts w:ascii="Arial;sans-serif" w:hAnsi="Arial;sans-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4,183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9,952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4,134</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Loss on debt extinguishment </w:t>
            </w:r>
            <w:r>
              <w:rPr>
                <w:rFonts w:ascii="Arial;sans-serif" w:hAnsi="Arial;sans-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color w:val="000000"/>
              </w:rPr>
            </w:pPr>
            <w:r>
              <w:rPr>
                <w:color w:val="000000"/>
              </w:rPr>
              <w:t>—</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color w:val="000000"/>
              </w:rPr>
            </w:pPr>
            <w:r>
              <w:rPr>
                <w:color w:val="000000"/>
              </w:rPr>
              <w: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132,312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85,172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252,397</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163,039</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Net income (loss) Margin</w:t>
            </w:r>
          </w:p>
        </w:tc>
        <w:tc>
          <w:tcPr>
            <w:tcW w:w="109" w:type="dxa"/>
            <w:tcBorders/>
            <w:vAlign w:val="center"/>
          </w:tcPr>
          <w:p>
            <w:pPr>
              <w:pStyle w:val="TableContents"/>
              <w:bidi w:val="0"/>
              <w:spacing w:before="0" w:after="283"/>
              <w:jc w:val="left"/>
              <w:rPr>
                <w:sz w:val="4"/>
                <w:szCs w:val="4"/>
              </w:rPr>
            </w:pPr>
            <w:r>
              <w:rPr>
                <w:sz w:val="4"/>
                <w:szCs w:val="4"/>
              </w:rPr>
            </w:r>
          </w:p>
        </w:tc>
        <w:tc>
          <w:tcPr>
            <w:tcW w:w="6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w:t>
            </w:r>
          </w:p>
        </w:tc>
        <w:tc>
          <w:tcPr>
            <w:tcW w:w="5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(15)</w:t>
            </w:r>
          </w:p>
        </w:tc>
        <w:tc>
          <w:tcPr>
            <w:tcW w:w="5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11</w:t>
            </w:r>
            <w:r>
              <w:rPr>
                <w:color w:val="000000"/>
              </w:rPr>
              <w:t> </w:t>
            </w:r>
          </w:p>
        </w:tc>
        <w:tc>
          <w:tcPr>
            <w:tcW w:w="5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(6)</w:t>
            </w:r>
          </w:p>
        </w:tc>
        <w:tc>
          <w:tcPr>
            <w:tcW w:w="8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color w:val="000000"/>
                <w:sz w:val="20"/>
              </w:rPr>
            </w:pPr>
            <w:r>
              <w:rPr>
                <w:rFonts w:ascii="Arial;sans-serif" w:hAnsi="Arial;sans-serif"/>
                <w:b/>
                <w:color w:val="000000"/>
                <w:sz w:val="20"/>
              </w:rPr>
              <w: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60</w:t>
            </w: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53</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59</w:t>
            </w: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52</w:t>
            </w: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(a)Stock-based compensation includes $3.9 million and $2.9 million related to the vesting and payment of the 2021, 2024, and 2025 Distributions to employee equity holders for the three months ended June 30, 2026 and 2025, respectively, as well as $8.2 million and $6.1 million for the six months ended June 30, 2026 and 2025, respectively. Distributions of this nature are not expected to reoccur as a public company. Refer to Note 8. Stock-based Compensation to our condensed consolidated financial statements for further detail.</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(b)Represents reorganization costs associated with the integration of legacy Liftoff and Vungle operations following the 2021 merger. As a result of the Company’s integration activities, the Company undertook multiple defined reduction-in-force programs to eliminate duplicative roles and streamline the Company’s workforce across all functions. The costs came primarily in the form of severance and professional service costs associated with such operating model redesign, including severance related expenses and professional fees. Reorganization costs relating to these integration activities are expected to be minimal following the 2025 fiscal year.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(c)Represents costs for transaction-related services, such as investment banking, legal, accounting, and diligence, primarily incurred in connection with capital markets activities, including debt refinancing efforts and General Atlantic’s investment.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(d)Represents non-recurring third-party professional fees in preparation of becoming a public company that were not capitalizable.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(e)Consisted of a write-off of $7.4 million of unamortized issuance costs.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Free Cash Flow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define Free Cash Flow as net cash provided by operating activities less purchase and capitalization of property, equipment and software. We subtract purchase and capitalization of property, equipment and software in our calculation of Free Cash Flow as we believe these expenditures represent ongoing investments required to support and grow our business. Our definition may differ from the definitions used by other companies and therefore comparability may be limited. In addition, other companies may not publish Free Cash Flow or similar metrics. Thus, our Free Cash Flow, which is a non-GAAP measure, should be considered in addition to, not as a substitute for, or in isolation from, measures prepared in accordance with GAAP.</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Free Cash Flow is a measure of liquidity that provides useful information to our management, investors and others in understanding and evaluating the strength of our liquidity and future ability to generate cash that can be used for strategic opportunities, including investing in our business. Free Cash Flow has certain limitations in that it does not represent our residual cash flow for discretionary expenditures and our non-discretionary commitments. Free Cash Flow is not necessarily a measure of our ability to fund our cash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reconciles net cash provided by operating activities, the most comparable GAAP financial measure to Free Cash Flow for the periods presented: </w:t>
      </w:r>
    </w:p>
    <w:tbl>
      <w:tblPr>
        <w:tblW w:w="8742" w:type="dxa"/>
        <w:jc w:val="left"/>
        <w:tblInd w:w="0" w:type="dxa"/>
        <w:tblLayout w:type="fixed"/>
        <w:tblCellMar>
          <w:top w:w="28" w:type="dxa"/>
          <w:left w:w="28" w:type="dxa"/>
          <w:bottom w:w="28" w:type="dxa"/>
          <w:right w:w="28" w:type="dxa"/>
        </w:tblCellMar>
      </w:tblPr>
      <w:tblGrid>
        <w:gridCol w:w="2065"/>
        <w:gridCol w:w="1816"/>
        <w:gridCol w:w="1819"/>
        <w:gridCol w:w="230"/>
        <w:gridCol w:w="936"/>
        <w:gridCol w:w="119"/>
        <w:gridCol w:w="119"/>
        <w:gridCol w:w="119"/>
        <w:gridCol w:w="119"/>
        <w:gridCol w:w="230"/>
        <w:gridCol w:w="1002"/>
        <w:gridCol w:w="168"/>
      </w:tblGrid>
      <w:tr>
        <w:trPr/>
        <w:tc>
          <w:tcPr>
            <w:tcW w:w="206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Twelve Months Ended June 30,</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and capitalization of property, equipment and software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184,453 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76,365 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(52,481)</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(48,323)</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(55,941)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(105,501)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financed our operations, capital expenditures and strategic acquisitions primarily through utilization of cash generated from operations, as well as borrowings under our credit facilities. As of June 30, 2026, we had $305.4 million of cash and cash equivalents compared to $133.3 million as of December 31, 2025.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that cash expected to be provided by operating activities, together with our cash on hand and the availability of borrowings under our new Revolving Credit Facility (defined below), will be sufficient to meet our liquidity requirements for at least the next 12 months.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market conditions warrant, we and our equity holders, which include members of our management and our Principal Stockholders, may from time to time seek to repay loans that we have borrowed, including the loans under our 2021 Credit Agreement (as defined below), in privately negotiated or open market transactions, by tender offer or otherwise, and such repurchases may be at prices below par.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 </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Indebtedness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Senior Secured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September 30, 2021, we entered into a credit agreement (as amended from time to time, the “2021 Credit Agreement”) that provides for a term loan facility and a revolving credit facility (collectively, the “Credit Facility”). On September 8, 2025, the Company amended the 2021 Credit Agreement (the “2025 Amendment”). Pursuant to the 2025 Amendment, we refinanced all outstanding borrowings under the 2021 Credit Agreement and increased the aggregate principal amount to $1,855.0 million (the “Term Loan Facility”). Additionally, we terminated the previous revolving credit facility and established a new revolving credit facility (the “Revolving Credit Facility”) with a borrowing capacity of $195.5 million. The maturity dates for the Term Loan Facility and Revolving Credit Facility are September 8, 2032 and September 8, 2030, respectively. Furthermore, the unused balance on the Revolving Credit Facility is subject to an unused commitment fee ranging from 0.25% to 0.50% per annum based on our leverage ratio. We may prepay the Term Loan Facility in whole or in part at any time without penalty. On June 29, 2026, the Company used IPO proceeds to prepay approximately $409.2 million in aggregate principal of the Term Loan Facility. The Company recognized a loss on extinguishment of debt of $7.4 million related to the write-off of unamortized debt issuance costs associated with the extinguished debt. For additional information, refer to Note 4. Credit Agreements.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were in compliance with all covenants contained in the 2021 Credit Agreement,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Cash Flow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 for the Six Months Ended June 30, 2026 and the Six Months Ended June 30, 2025</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major components of our condensed consolidated statements of cash flows for the periods presented: </w:t>
      </w:r>
    </w:p>
    <w:p>
      <w:pPr>
        <w:pStyle w:val="TextBody"/>
        <w:bidi w:val="0"/>
        <w:spacing w:before="0" w:after="0"/>
        <w:ind w:left="0" w:right="0" w:firstLine="490"/>
        <w:jc w:val="left"/>
        <w:rPr/>
      </w:pPr>
      <w:r>
        <w:rPr/>
      </w:r>
    </w:p>
    <w:tbl>
      <w:tblPr>
        <w:tblW w:w="10205" w:type="dxa"/>
        <w:jc w:val="left"/>
        <w:tblInd w:w="0" w:type="dxa"/>
        <w:tblLayout w:type="fixed"/>
        <w:tblCellMar>
          <w:top w:w="28" w:type="dxa"/>
          <w:left w:w="28" w:type="dxa"/>
          <w:bottom w:w="28" w:type="dxa"/>
          <w:right w:w="28" w:type="dxa"/>
        </w:tblCellMar>
      </w:tblPr>
      <w:tblGrid>
        <w:gridCol w:w="2140"/>
        <w:gridCol w:w="1876"/>
        <w:gridCol w:w="1880"/>
        <w:gridCol w:w="109"/>
        <w:gridCol w:w="109"/>
        <w:gridCol w:w="427"/>
        <w:gridCol w:w="427"/>
        <w:gridCol w:w="826"/>
        <w:gridCol w:w="447"/>
        <w:gridCol w:w="443"/>
        <w:gridCol w:w="109"/>
        <w:gridCol w:w="109"/>
        <w:gridCol w:w="109"/>
        <w:gridCol w:w="254"/>
        <w:gridCol w:w="386"/>
        <w:gridCol w:w="554"/>
      </w:tblGrid>
      <w:tr>
        <w:trPr/>
        <w:tc>
          <w:tcPr>
            <w:tcW w:w="214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5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521" w:type="dxa"/>
            <w:gridSpan w:val="6"/>
            <w:tcBorders/>
          </w:tcPr>
          <w:p>
            <w:pPr>
              <w:pStyle w:val="TableContents"/>
              <w:bidi w:val="0"/>
              <w:spacing w:before="0" w:after="283"/>
              <w:jc w:val="left"/>
              <w:rPr>
                <w:sz w:val="4"/>
                <w:szCs w:val="4"/>
              </w:rPr>
            </w:pPr>
            <w:r>
              <w:rPr>
                <w:sz w:val="4"/>
                <w:szCs w:val="4"/>
              </w:rPr>
            </w:r>
          </w:p>
        </w:tc>
      </w:tr>
      <w:tr>
        <w:trPr/>
        <w:tc>
          <w:tcPr>
            <w:tcW w:w="58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i/>
                <w:color w:val="000000"/>
                <w:sz w:val="20"/>
              </w:rPr>
            </w:pPr>
            <w:r>
              <w:rPr>
                <w:rFonts w:ascii="Arial;sans-serif" w:hAnsi="Arial;sans-serif"/>
                <w:b/>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2025</w:t>
            </w:r>
          </w:p>
        </w:tc>
      </w:tr>
      <w:tr>
        <w:trPr/>
        <w:tc>
          <w:tcPr>
            <w:tcW w:w="589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cash equivalents, and restricted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8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151,477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77,897</w:t>
            </w:r>
          </w:p>
        </w:tc>
      </w:tr>
      <w:tr>
        <w:trPr/>
        <w:tc>
          <w:tcPr>
            <w:tcW w:w="589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(27,247)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(24,901)</w:t>
            </w:r>
          </w:p>
        </w:tc>
      </w:tr>
      <w:tr>
        <w:trPr/>
        <w:tc>
          <w:tcPr>
            <w:tcW w:w="58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25,223</w:t>
            </w:r>
          </w:p>
        </w:tc>
      </w:tr>
      <w:tr>
        <w:trPr/>
        <w:tc>
          <w:tcPr>
            <w:tcW w:w="589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Effect of exchange rate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663</w:t>
            </w:r>
          </w:p>
        </w:tc>
      </w:tr>
      <w:tr>
        <w:trPr/>
        <w:tc>
          <w:tcPr>
            <w:tcW w:w="58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172,092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78,882</w:t>
            </w:r>
          </w:p>
        </w:tc>
      </w:tr>
    </w:tbl>
    <w:p>
      <w:pPr>
        <w:pStyle w:val="TextBody"/>
        <w:bidi w:val="0"/>
        <w:spacing w:before="0" w:after="0"/>
        <w:ind w:left="0" w:right="0" w:firstLine="49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Cash Flows provided by Operating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was $151.5 million for the six months ended June 30, 2026, compared to $77.9 million for the six months ended June 30, 2025, an increase of $73.6 million. Cash flows from operating activities consist primarily of net income (loss) adjusted for working capital and certain non-cash items. Non-cash items include items such as depreciation and amortization expense, stock-based compensation, and changes in deferred income taxes.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operating activities for the six months ended June 30, 2026 primarily consists of net income of $45.1 million adjusted for certain non-cash items and changes in net operating assets and liabilities including $44.7 million of depreciation and amortization, $26.6 million of stock-based compensation, $13.0 million of deferred income taxes, and contingent consideration revaluation of $12.6 million.</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operating activities for the six months ended June 30, 2025 primarily consists of net loss of $19.9 million adjusted for certain non-cash items and changes in net operating assets and liabilities including $50.7 million in depreciation and amortization, $4.0 million in stock-based compensation, and an increase in accounts payable and accrued liabilities amounting to $108.1 million, partially offset by an increase in accounts receivable amounting to $63.8 million.</w:t>
      </w:r>
    </w:p>
    <w:p>
      <w:pPr>
        <w:pStyle w:val="TextBody"/>
        <w:bidi w:val="0"/>
        <w:spacing w:before="0" w:after="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improvement in cash flows from operating activities during the six months ended June 30, 2026 compared to the six months ended June 30, 2025 was primarily driven by growth in net income and improved customer collections.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 used in Investing Activities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was $27.2 million for the six months ended June 30, 2026, compared to $24.9 million for the six months ended June 30, 2025, an increase of $2.3 million. Net cash used in investing activities primarily consists of capital expenditures for capitalized internal-use software, which was the driver of the increase year-over-year.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 provided by Financing Activities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cash provided by financing activities was $47.9 million for the six months ended June 30, 2026, compared to $25.2 million for the six months ended June 30, 2025, an increase of $22.6 million. Net cash provided by financing activities consists primarily of equity transactions and capital raising activities, such as net proceeds from our IPO, and the payment of debt principal.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six months ended June 30, 2026 was primarily driven by the net proceeds of $472.4 million from our IPO, partially offset by the payment of debt principal on our Term Loan Facility amounting to $418.4 million. </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2025 was primarily driven by proceeds from the issuance of preferred stock and post-conversion earnout share liability amounting to $409.5 million and $5.4 million, respectively. These inflows were partially offset by the repurchase of common stock and payment of debt, amounting to $383.4 million and $7.6 million,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Material Cash Requirements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current and long-term material cash requirements as of June 30, 2026, which we expect to fund primarily with operating cash flows: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5"/>
        <w:gridCol w:w="583"/>
        <w:gridCol w:w="560"/>
        <w:gridCol w:w="109"/>
        <w:gridCol w:w="109"/>
        <w:gridCol w:w="109"/>
        <w:gridCol w:w="211"/>
        <w:gridCol w:w="1021"/>
        <w:gridCol w:w="109"/>
        <w:gridCol w:w="109"/>
        <w:gridCol w:w="109"/>
        <w:gridCol w:w="109"/>
        <w:gridCol w:w="247"/>
        <w:gridCol w:w="1004"/>
        <w:gridCol w:w="127"/>
        <w:gridCol w:w="109"/>
        <w:gridCol w:w="109"/>
        <w:gridCol w:w="109"/>
        <w:gridCol w:w="211"/>
        <w:gridCol w:w="856"/>
        <w:gridCol w:w="109"/>
        <w:gridCol w:w="109"/>
        <w:gridCol w:w="109"/>
        <w:gridCol w:w="109"/>
        <w:gridCol w:w="211"/>
        <w:gridCol w:w="856"/>
        <w:gridCol w:w="109"/>
        <w:gridCol w:w="109"/>
        <w:gridCol w:w="109"/>
        <w:gridCol w:w="109"/>
        <w:gridCol w:w="239"/>
        <w:gridCol w:w="1161"/>
        <w:gridCol w:w="181"/>
      </w:tblGrid>
      <w:tr>
        <w:trPr/>
        <w:tc>
          <w:tcPr>
            <w:tcW w:w="77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Material Cash Requirements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More than 5 Years</w:t>
            </w:r>
          </w:p>
        </w:tc>
      </w:tr>
      <w:tr>
        <w:trPr/>
        <w:tc>
          <w:tcPr>
            <w:tcW w:w="1918" w:type="dxa"/>
            <w:gridSpan w:val="3"/>
            <w:tcBorders/>
            <w:shd w:fill="CAEDF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1,436,563 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18,550 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1,343,813 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692,074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115,569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226,951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220,641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128,913</w:t>
            </w:r>
          </w:p>
        </w:tc>
      </w:tr>
      <w:tr>
        <w:trPr/>
        <w:tc>
          <w:tcPr>
            <w:tcW w:w="1918"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color w:val="000000"/>
              </w:rPr>
            </w:pPr>
            <w:r>
              <w:rPr>
                <w:color w:val="000000"/>
              </w:rPr>
              <w:t>—</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2,141,071 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140,038 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270,343 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257,964 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1,472,726 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Uncertain Tax Positions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approximately $49.6 million of recorded liabilities and related interest and penalties pertaining to uncertain tax positions. We are unable to make a reasonable estimate as to when cash settlement with the tax authorities might occur due to the uncertainties related to these tax matters. Payments of these liabilities would result from settlements with taxing authorities.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Off-Balance Sheet Arrangements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Our significant accounting policies are discussed in Note 2. Summary of Significant Accounting Policies in the Notes to the condensed consolidated financial statements included elsewhere in this </w:t>
      </w:r>
      <w:r>
        <w:rPr>
          <w:rFonts w:ascii="Arial;sans-serif" w:hAnsi="Arial;sans-serif"/>
          <w:b w:val="false"/>
          <w:i/>
          <w:color w:val="000000"/>
          <w:sz w:val="20"/>
        </w:rPr>
        <w:t>Quarterly Report on Form 10-Q</w:t>
      </w:r>
      <w:r>
        <w:rPr>
          <w:rFonts w:ascii="Arial;sans-serif" w:hAnsi="Arial;sans-serif"/>
          <w:b w:val="false"/>
          <w:color w:val="000000"/>
          <w:sz w:val="20"/>
        </w:rPr>
        <w:t xml:space="preserve">. We believe that the accounting policies discussed below are critical to understanding our historical and future performance, as these policies relate to areas involving a significant level of estimation uncertainty and have had or are likely to have a material impact on our financial statements. Actual results could differ significantly from our estimates. To the extent that there are differences between our estimates and actual results, our future financial statement presentation, financial condition, operating results, and cash flows will be affected.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Other than as set forth below, there have been no material changes to our critical accounting estimates during the three months ended June 30, 2026, as compared to those disclosed in our Management’s Discussion and Analysis of Financial Condition and Results of Operations set forth in our IPO Prospectus.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Stock-based Compensation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 xml:space="preserve">2021 Stock Incentive Plan </w:t>
      </w:r>
      <w:r>
        <w:rPr>
          <w:color w:val="000000"/>
        </w:rPr>
        <w:t xml:space="preserve">— </w:t>
      </w:r>
      <w:r>
        <w:rPr>
          <w:rFonts w:ascii="Arial;sans-serif" w:hAnsi="Arial;sans-serif"/>
          <w:b w:val="false"/>
          <w:color w:val="000000"/>
          <w:sz w:val="20"/>
        </w:rPr>
        <w:t>On March 17, 2021, the Company adopted the Booster Parent Holdings, Inc. 2021 Stock Incentive Plan (the “2021 Stock Incentive Plan”). Following the effectiveness of the Omnibus Incentive Plan upon the completion of the IPO, the Company ceased granting awards under the 2021 Stock Incentive Plan, and no new equity awards have been or will be issued thereunder. However, all outstanding awards granted under the 2021 Stock Incentive Plan will continue to be governed by the 2021 Stock Incentive Plan and the applicable award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has granted both NSOs and SARs that vest in quarterly or annual installments over a two-to-four-year period. In certain cases, these awards also contain one year cliff vesting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No stock options were granted during the six months ended June 30, 2026.</w:t>
      </w:r>
    </w:p>
    <w:p>
      <w:pPr>
        <w:pStyle w:val="TextBody"/>
        <w:bidi w:val="0"/>
        <w:spacing w:before="0" w:after="0"/>
        <w:ind w:left="0" w:right="0" w:firstLine="49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 xml:space="preserve">Fair Value </w:t>
      </w:r>
      <w:r>
        <w:rPr>
          <w:color w:val="000000"/>
        </w:rPr>
        <w:t xml:space="preserve">— </w:t>
      </w:r>
      <w:r>
        <w:rPr>
          <w:rFonts w:ascii="Arial;sans-serif" w:hAnsi="Arial;sans-serif"/>
          <w:b w:val="false"/>
          <w:color w:val="000000"/>
          <w:sz w:val="20"/>
        </w:rPr>
        <w:t xml:space="preserve">Assumptions used in the Black-Scholes option pricing model for SARs granted under the 2021 Stock Incentive Plan as of June 30, 2026 were as follows on a weighted average basis: </w:t>
      </w:r>
    </w:p>
    <w:p>
      <w:pPr>
        <w:pStyle w:val="TextBody"/>
        <w:bidi w:val="0"/>
        <w:spacing w:before="0" w:after="0"/>
        <w:jc w:val="left"/>
        <w:rPr/>
      </w:pPr>
      <w:r>
        <w:rPr/>
      </w:r>
    </w:p>
    <w:tbl>
      <w:tblPr>
        <w:tblW w:w="4762" w:type="dxa"/>
        <w:jc w:val="left"/>
        <w:tblInd w:w="0" w:type="dxa"/>
        <w:tblLayout w:type="fixed"/>
        <w:tblCellMar>
          <w:top w:w="28" w:type="dxa"/>
          <w:left w:w="28" w:type="dxa"/>
          <w:bottom w:w="28" w:type="dxa"/>
          <w:right w:w="28" w:type="dxa"/>
        </w:tblCellMar>
      </w:tblPr>
      <w:tblGrid>
        <w:gridCol w:w="1237"/>
        <w:gridCol w:w="1087"/>
        <w:gridCol w:w="1095"/>
        <w:gridCol w:w="109"/>
        <w:gridCol w:w="109"/>
        <w:gridCol w:w="109"/>
        <w:gridCol w:w="311"/>
        <w:gridCol w:w="230"/>
        <w:gridCol w:w="475"/>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Fair value of Liftoff’s common stock</w:t>
            </w:r>
            <w:r>
              <w:rPr>
                <w:rFonts w:ascii="Arial;sans-serif" w:hAnsi="Arial;sans-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24.02</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2.65</w:t>
            </w:r>
          </w:p>
        </w:tc>
      </w:tr>
      <w:tr>
        <w:trPr/>
        <w:tc>
          <w:tcPr>
            <w:tcW w:w="341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7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(1)As of June 30,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 xml:space="preserve">Distributions </w:t>
      </w:r>
      <w:r>
        <w:rPr>
          <w:color w:val="000000"/>
        </w:rPr>
        <w:t xml:space="preserve">— </w:t>
      </w:r>
      <w:r>
        <w:rPr>
          <w:rFonts w:ascii="Arial;sans-serif" w:hAnsi="Arial;sans-serif"/>
          <w:b w:val="false"/>
          <w:color w:val="000000"/>
          <w:sz w:val="20"/>
        </w:rPr>
        <w:t>On October 4, 2021,</w:t>
      </w:r>
      <w:r>
        <w:rPr>
          <w:color w:val="000000"/>
        </w:rPr>
        <w:t xml:space="preserve"> </w:t>
      </w:r>
      <w:r>
        <w:rPr>
          <w:rFonts w:ascii="Arial;sans-serif" w:hAnsi="Arial;sans-serif"/>
          <w:b w:val="false"/>
          <w:color w:val="000000"/>
          <w:sz w:val="20"/>
        </w:rPr>
        <w:t xml:space="preserve">the Company declared a distribution to employees and other holders of outstanding shares and/or stock-based compensation awards (whether vested or unvested) issued prior to August 21, 2021 (the “2021 Distribution”). Similar distributions were also declared on November 11, 2024 (the “2024 Distribution”) and September 12, 2025 (the “2025 Distribution”). Any equity classified awards that were unvested as of the 2021, 2024, and 2025 Distribution approval dates of October 4, 2021, November 11, 2024, and September 12, 2025, respectively, were subject to a partial modification in connection with the 2021, 2024 and 2025 Distributions that created a corresponding liability award in the amount of $5.19, $2.12, and $2.12 per outstanding option for the 2021, 2024, and 2025 Distributions, respectively. Liability classified awards were also eligible to receive the 2021, 2024, and 2025 Distributions, as their awards vested in the future, and as such a corresponding liability will continue to be accounted for in the amount of $5.19, $2.12, and $2.12 per outstanding SAR for the 2021, 2024, and 2025 Distributions, respectively.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Valuation of Shares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Prior to the IPO, given the absence of a public trading market for our shares, and in accordance with the American Institute of Certified Public Accountants Accounting and Valuation Guide, Valuation of Privately Held-Company Equity Securities Issued as Compensation, our board of directors exercised its reasonable judgment and considered numerous objective and subjective factors to determine the best estimate of fair value of our shares, including: </w:t>
      </w:r>
    </w:p>
    <w:p>
      <w:pPr>
        <w:pStyle w:val="TextBody"/>
        <w:bidi w:val="0"/>
        <w:spacing w:before="0" w:after="0"/>
        <w:ind w:left="0" w:right="0" w:firstLine="49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independent third-party valuations of our shares;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capital resources and financial condition;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likelihood and timing of achieving a liquidity event, such as an initial public offering or sale of the Company, given prevailing market conditions;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historical operating and financial performance as well as our estimates of future financial performance;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valuations of comparable companies;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status of our development, product introduction, and sales efforts;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relative lack of marketability of our shares;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industry information such as market growth and volume and macro-economic events; and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additional objective and subjective factors relating to our business.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In valuing our shares, our board of directors determined the fair value of our shares using both the income and market approach valuation methods. The income approach estimates value based on the expectation of future cash flows that a company will generate. The market approach estimates value based on a comparison of the subject company to comparable public companies in a similar line of business.</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Applying these valuation approaches involves the use of estimates, judgments and assumptions that are highly complex and subjective, including our expected future revenue and expenses, the determination of discount rates, valuation multiples, the selection of comparable public companies and the probability of future events. Changes in any or all of these estimates and assumptions impact our valuation. Such changes may have a material impact on our condensed consolidated financial statements. Following the IPO, it is no longer necessary to determine the fair value of our shares, as our shares are traded in the public market.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Redeemable Convertible Preferred Stock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Prior to the completion of the IPO, the Company’s Series A Redeemable Convertible Preferred Stock was classified as mezzanine equity in the condensed consolidated financial statements because it was redeemable upon the occurrence of certain deemed liquidation events that were not solely within the Company’s control. The Series A Redeemable Convertible Preferred Stock was initially recognized at fair value upon issuance and was subsequently adjusted to its redemption value at each reporting date if it became currently redeemable or probable of becoming redeemable. In connection with the IPO, all outstanding shares of Series A Redeemable Convertible Preferred Stock automatically converted into 24,011,299 shares of the Company’s common stock.</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Note 2. Summary of Significant Accounting Policies to our condensed consolidated financial statements included elsewhere in this Quarterly Report on Form 10-Q for recently adopted accounting pronouncements and recently issued accounting pronouncements not yet adopted as of the dates of the statement of financial position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32" w:name="i2e83ebbebcda43a6935bdfbf7a88016d"/>
      <w:bookmarkEnd w:id="32"/>
      <w:r>
        <w:rPr>
          <w:rFonts w:ascii="Arial;sans-serif" w:hAnsi="Arial;sans-serif"/>
          <w:b/>
          <w:color w:val="000000"/>
          <w:sz w:val="24"/>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exposed to market risk from changes in exchange rates, interest rates and inflation. All of these market risks arise in the ordinary course of business, as we do not engage in speculative trading activities. The following discussion provides additional information regarding these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Foreign Currency and Exchange Risk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Although a substantial portion of our revenue and cash flows is generated in U.S. dollars within the United States, we also operate internationally and generate a portion of revenue and cash in foreign currencies. Our expenses are generally denominated in the currencies in which our operations are located, primarily the U.S. Dollar, Singapore Dollar, British Pound, Brazilian Real, and Euro.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international operations expose us to fluctuations in foreign currency exchange rates. While our global presence continues to expand, the majority of our cash flows are denominated in U.S. dollars. As a result, changes in exchange rates have not historically had a material impact on our results of operations, and we have not engaged in hedging activities to mitigate this risk. However, as our international business grows, exchange rate fluctuations could have a more significant effect on our future operating results.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Interest Rate Risk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rate risk is highly sensitive due to many factors, including U.S. monetary and tax policies, U.S. and international economic factors and other factors beyond our control. We are exposed to changes in the level of interest rates for our floating rate debt and for any potential refinance of any indebtedness that may be required. Our floating rate debt requires payments based on a variable interest rate index. As a result, increases in interest rates may reduce our net income by increasing the cost of our debt under our 2021 Credit Agreement, to the extent not offset by the effectiveness of our hedging arrangements.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may enter into hedging arrangements with respect to floating interest rate borrowings under the 2021 Credit Agreement. As of June 30, 2026, we had outstanding interest rate contracts with an aggregate notional amount of $850.0 million designated as cash flow hedges of interest rate risk. As of June 30, 2026, a hypothetical 1.0% annual increase in the applicable average interest rates would have resulted in an estimated $5.9 million increase in interest expense, on an annualized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33" w:name="i2fbd115cc32c4c60bc0a65895671c5c0"/>
      <w:bookmarkEnd w:id="33"/>
      <w:r>
        <w:rPr>
          <w:rFonts w:ascii="Arial;sans-serif" w:hAnsi="Arial;sans-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Based on that evaluation, the Company’s principal executive officer and principal financial officer concluded that, as of the end of the period covered by this Quarterly Report on Form 10-Q, due to the material weakness described below, the Company’s disclosure controls and procedures were not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previously identified a material weakness in our internal control over financial reporting. If our remediation of such material weakness is not effective, or if we experience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material weakness identified pertained to the lack of effectively designed, implemented, and maintained IT general controls over applications that support our financial reporting processes. Specifically, the material weakness related to a lack of formalized, designed, and implemented IT controls and associated segregation of duties, including a lack of sufficient IT resources and personnel to address the risks associated with the IT environment.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While management has made improvements to our control environment and IT processes to support our growing operations, the identified material weakness remains unremediated. We expect our remediation efforts to continue to take place in 2026, and to include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designing, developing, and deploying an enhanced IT General Controls (“ITGC”) framework, including the implementation of a number of processes and tools to enable the effectiveness and consistent execution of these controls;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continuing to implement ITGCs to manage logical access and program changes within our IT environment that support key business processes;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continuing to implement processes and controls to better manage and monitor our segregation of duties, including enhancing the usage of technology and tools for segregation of duties within the Company’s systems, applications, and tools;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continuing to expand both our internal resources, and collaboration with third party controls advisors, with the appropriate level of expertise to implement, monitor, and maintain effectively designed and operating ITGCs.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elements of our remediation plan can only be accomplished over time, and we can offer no assurance that these initiatives will ultimately have the intended effects. The material weakness cannot be considered remediated until the newly designed control activity operates for a sufficient period of time and management has concluded, through testing, that the control is operating effectively.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Other than the remediation measures described above, there were no changes in our internal controls over financial reporting identified in connection with the evaluation required by Rules 13a-15(d) and 15d-15(d) of the Exchange Act during the period covered by this Quarterly Report that have materially affected, or are reasonably likely to materially affect, our internal control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Limitations on Effectiveness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Management, including our principal executive officer and principal financial officer, recognizes that our disclosure controls and procedures and internal control over financial reporting are designed to provide reasonable assurance of achieving their objectives. However, a control system, no matter how well designed and operated, can provide only reasonable, not absolute, assurance that its objectives will be met, and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bookmarkStart w:id="34" w:name="i3504c6a018ad4e448db2aff4ad1cc8db"/>
      <w:bookmarkEnd w:id="34"/>
      <w:r>
        <w:rPr>
          <w:rFonts w:ascii="Arial;sans-serif" w:hAnsi="Arial;sans-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bookmarkStart w:id="35" w:name="i2c6d76be3477439c9f560d1170c76843"/>
      <w:bookmarkEnd w:id="35"/>
      <w:r>
        <w:rPr>
          <w:rFonts w:ascii="Arial;sans-serif" w:hAnsi="Arial;sans-serif"/>
          <w:b/>
          <w:color w:val="000000"/>
          <w:sz w:val="24"/>
        </w:rPr>
        <w:t>Item 1. Legal Proceedings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subject to various legal proceedings, claims, and governmental inspections, audits or investigations arising out of our business which cover matters such as general commercial, regulatory, product liability, environmental, intellectual property, privacy and cybersecurity, employment and other actions that are incidental to our business. Although the outcomes of these various legal proceedings and claims cannot be predicted with certainty, in the opinion of management, we are not currently a party to any legal proceedings that, if determined adversely to us, would have a material adverse effect on our financial position or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Arial;sans-serif" w:hAnsi="Arial;sans-serif"/>
          <w:b/>
          <w:color w:val="000000"/>
          <w:sz w:val="24"/>
        </w:rPr>
      </w:pPr>
      <w:bookmarkStart w:id="36" w:name="i16b9b7247dff405381838b52ac237505"/>
      <w:bookmarkEnd w:id="36"/>
      <w:r>
        <w:rPr>
          <w:rFonts w:ascii="Arial;sans-serif" w:hAnsi="Arial;sans-serif"/>
          <w:b/>
          <w:color w:val="000000"/>
          <w:sz w:val="24"/>
        </w:rPr>
        <w:t>Item 1A. Risk Factors</w:t>
      </w:r>
    </w:p>
    <w:p>
      <w:pPr>
        <w:pStyle w:val="TextBody"/>
        <w:bidi w:val="0"/>
        <w:spacing w:before="0" w:after="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in the IPO Prospectus.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Arial;sans-serif" w:hAnsi="Arial;sans-serif"/>
          <w:b/>
          <w:color w:val="000000"/>
          <w:sz w:val="24"/>
        </w:rPr>
      </w:pPr>
      <w:bookmarkStart w:id="37" w:name="i0d9faa08ef554b7d936b29bf1fc803d6"/>
      <w:bookmarkEnd w:id="37"/>
      <w:r>
        <w:rPr>
          <w:rFonts w:ascii="Arial;sans-serif" w:hAnsi="Arial;sans-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90"/>
        <w:jc w:val="left"/>
        <w:rPr>
          <w:rFonts w:ascii="Arial;sans-serif" w:hAnsi="Arial;sans-serif"/>
          <w:b/>
          <w:color w:val="000000"/>
          <w:sz w:val="20"/>
        </w:rPr>
      </w:pPr>
      <w:r>
        <w:rPr>
          <w:rFonts w:ascii="Arial;sans-serif" w:hAnsi="Arial;sans-serif"/>
          <w:b/>
          <w:color w:val="000000"/>
          <w:sz w:val="20"/>
        </w:rPr>
        <w:t>UNREGISTERED SALE OF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we did not issue or sell any shares of our common stock or other equity securities pursuant to unregistered transactions in reliance upon an exemption from the registration requirements of the Securities Act of 1933, as amended.</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USE OF PROCEEDS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Our IPO Registration Statement relating to our initial public offering of common stock was declared effective on June 3, 2026, and the Company’s common stock began trading on the Nasdaq Global Select Market on June 4, 2026. On June 5, 2026, we completed the closing of our IPO, in which we issued and sold 21.9 million shares of common stock, including 2.9 million shares of common stock pursuant to the underwriters’ exercise in full of their over-allotment option, at a public offering price of $23.00 per share. We received net proceeds of approximately $472.4 million after deducting underwriting discounts and commissions and before offering expenses. Blackstone Securities Partners L.P., an</w:t>
      </w:r>
      <w:r>
        <w:rPr>
          <w:color w:val="000000"/>
        </w:rPr>
        <w:t xml:space="preserve"> </w:t>
      </w:r>
      <w:r>
        <w:rPr>
          <w:rFonts w:ascii="Arial;sans-serif" w:hAnsi="Arial;sans-serif"/>
          <w:b w:val="false"/>
          <w:color w:val="000000"/>
          <w:sz w:val="20"/>
        </w:rPr>
        <w:t>affiliate of Blackstone Inc. (“BXCM”), served as an underwriter of 2,731,250 of the 21,850,000 shares of common stock issued in the IPO. BXCM received $3.8 million of underwriting discounts and commissions. No other payments for such expenses were made directly or indirectly to (i) any of our officers or directors or their associates, (ii) any persons owning 10% or more of any class of our equity securities, or (iii) any of our affiliates. The Company used the proceeds to repay outstanding indebtedness totaling $409.2 million in aggregate principal amount, and intends to use the remainder for general corporate purposes and to cover all of the expenses of the IPO.</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Goldman Sachs &amp; Co. LLC, Jefferies, and Morgan Stanley acted as joint lead book-running managers for the offering. Barclays, RBC Capital Markets, UBS Investment Bank, Wells Fargo Securities, William Blair, Cantor, Deutsche Bank Securities, PJT Partners, Wolfe | Nomura Alliance, BTIG, Needham &amp; Company, and Raymond James also acted as book-running managers.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There has been no material change in the planned use of proceeds from the IPO as described in the IPO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38" w:name="i7a7b29d61bcd4fdb9011f43cb40e8820"/>
      <w:bookmarkEnd w:id="38"/>
      <w:r>
        <w:rPr>
          <w:rFonts w:ascii="Arial;sans-serif" w:hAnsi="Arial;sans-serif"/>
          <w:b/>
          <w:color w:val="000000"/>
          <w:sz w:val="24"/>
        </w:rPr>
        <w:t>Item 3. Defaults Upon Senior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39" w:name="i7addb3a992fa45f2b6ba7a9f10f904c7"/>
      <w:bookmarkEnd w:id="39"/>
      <w:r>
        <w:rPr>
          <w:rFonts w:ascii="Arial;sans-serif" w:hAnsi="Arial;sans-serif"/>
          <w:b/>
          <w:color w:val="000000"/>
          <w:sz w:val="24"/>
        </w:rPr>
        <w:t>Item 4. Mine Safety Disclosures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40" w:name="ie53e2d7cf5ea48ee885835bb0c7c2c12"/>
      <w:bookmarkEnd w:id="40"/>
      <w:r>
        <w:rPr>
          <w:rFonts w:ascii="Arial;sans-serif" w:hAnsi="Arial;sans-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Trading Plans of Executive Officers and Directors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bookmarkStart w:id="41" w:name="i6cf31c22d8364379a969fe1564c8abf1"/>
      <w:bookmarkEnd w:id="41"/>
      <w:r>
        <w:rPr>
          <w:rFonts w:ascii="Arial;sans-serif" w:hAnsi="Arial;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36"/>
        <w:gridCol w:w="295"/>
        <w:gridCol w:w="297"/>
        <w:gridCol w:w="2276"/>
        <w:gridCol w:w="2033"/>
        <w:gridCol w:w="2053"/>
        <w:gridCol w:w="282"/>
        <w:gridCol w:w="186"/>
        <w:gridCol w:w="157"/>
        <w:gridCol w:w="338"/>
        <w:gridCol w:w="269"/>
        <w:gridCol w:w="165"/>
        <w:gridCol w:w="282"/>
        <w:gridCol w:w="282"/>
        <w:gridCol w:w="210"/>
        <w:gridCol w:w="215"/>
        <w:gridCol w:w="215"/>
        <w:gridCol w:w="31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EXHIBIT INDEX </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Number</w:t>
            </w:r>
          </w:p>
        </w:tc>
        <w:tc>
          <w:tcPr>
            <w:tcW w:w="6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Form </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File No. </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Exhibit </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00"/>
                  <w:sz w:val="20"/>
                </w:rPr>
                <w:t xml:space="preserve">Amended and Restated Certificate of Incorporation of Liftoff Mobile, Inc. </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001-43327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00"/>
                  <w:sz w:val="20"/>
                </w:rPr>
                <w:t>3.2</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00"/>
                  <w:sz w:val="20"/>
                </w:rPr>
                <w:t xml:space="preserve">Amended and Restated Bylaws of Liftoff Mobile, Inc. </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001-43327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00"/>
                  <w:sz w:val="20"/>
                </w:rPr>
                <w:t>10.1</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00"/>
                  <w:sz w:val="20"/>
                </w:rPr>
                <w:t>Registration Rights Agreement, dated as of June 3, 2026, by and among Liftoff Mobile, Inc. and each of the other persons from time to time party thereto.</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001-43327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00"/>
                  <w:sz w:val="20"/>
                </w:rPr>
                <w:t>10.2</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00"/>
                  <w:sz w:val="20"/>
                </w:rPr>
                <w:t>Stockholders Agreement, dated as of June 3, 2026, by and among Liftoff and entities affiliated with Blackstone</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001-43327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00"/>
                  <w:sz w:val="20"/>
                </w:rPr>
                <w:t>10.3</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00"/>
                  <w:sz w:val="20"/>
                </w:rPr>
                <w:t>Stockholders Agreement, dated as of June 3, 2026, by and among Liftoff and entities affiliated with General Atlantic</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001-43327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00"/>
                  <w:sz w:val="20"/>
                </w:rPr>
                <w:t>10.4</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80"/>
                  <w:sz w:val="20"/>
                </w:rPr>
                <w:t>Liftoff Mobile, Inc.</w:t>
              </w:r>
            </w:hyperlink>
            <w:hyperlink r:id="rId19">
              <w:r>
                <w:rPr>
                  <w:rStyle w:val="InternetLink"/>
                  <w:rFonts w:ascii="Arial;sans-serif" w:hAnsi="Arial;sans-serif"/>
                  <w:b w:val="false"/>
                  <w:color w:val="000080"/>
                  <w:sz w:val="20"/>
                </w:rPr>
                <w:t xml:space="preserve"> </w:t>
              </w:r>
            </w:hyperlink>
            <w:hyperlink r:id="rId20">
              <w:r>
                <w:rPr>
                  <w:rStyle w:val="InternetLink"/>
                  <w:rFonts w:ascii="Arial;sans-serif" w:hAnsi="Arial;sans-serif"/>
                  <w:b w:val="false"/>
                  <w:color w:val="000080"/>
                  <w:sz w:val="20"/>
                </w:rPr>
                <w:t>2026 Omnibus Incentive Plan</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333-296467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00"/>
                  <w:sz w:val="20"/>
                </w:rPr>
                <w:t>10.5</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00"/>
                  <w:sz w:val="20"/>
                </w:rPr>
                <w:t>Liftoff Mobile, Inc. 2026 Employee Stock Purchase Plan</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333-296467</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00"/>
                  <w:sz w:val="20"/>
                </w:rPr>
                <w:t>10.6</w:t>
              </w:r>
            </w:hyperlink>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00"/>
                  <w:sz w:val="20"/>
                </w:rPr>
                <w:t>Form of Indemnification Agreement</w:t>
              </w:r>
            </w:hyperlink>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333-292700</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1/16/2026</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6362" w:type="dxa"/>
            <w:gridSpan w:val="3"/>
            <w:tcBorders/>
            <w:tcMar>
              <w:top w:w="0" w:type="dxa"/>
              <w:left w:w="0" w:type="dxa"/>
              <w:bottom w:w="0" w:type="dxa"/>
              <w:right w:w="0" w:type="dxa"/>
            </w:tcMar>
            <w:vAlign w:val="center"/>
          </w:tcPr>
          <w:p>
            <w:pPr>
              <w:pStyle w:val="TableContents"/>
              <w:bidi w:val="0"/>
              <w:spacing w:lineRule="auto" w:line="288" w:before="121" w:after="283"/>
              <w:jc w:val="left"/>
              <w:rPr/>
            </w:pPr>
            <w:hyperlink w:anchor="liftoffdraftdirectorcompen.htm">
              <w:r>
                <w:rPr>
                  <w:rStyle w:val="InternetLink"/>
                  <w:rFonts w:ascii="Arial;sans-serif" w:hAnsi="Arial;sans-serif"/>
                  <w:b w:val="false"/>
                  <w:color w:val="000080"/>
                  <w:sz w:val="20"/>
                </w:rPr>
                <w:t xml:space="preserve">Liftoff Non-Employee Director Compensation Policy, dated as of </w:t>
              </w:r>
            </w:hyperlink>
            <w:hyperlink w:anchor="liftoffdraftdirectorcompen.htm">
              <w:r>
                <w:rPr>
                  <w:rStyle w:val="InternetLink"/>
                  <w:rFonts w:ascii="Arial;sans-serif" w:hAnsi="Arial;sans-serif"/>
                  <w:b w:val="false"/>
                  <w:color w:val="000080"/>
                  <w:sz w:val="20"/>
                </w:rPr>
                <w:t>Ju</w:t>
              </w:r>
            </w:hyperlink>
            <w:hyperlink w:anchor="liftoffdraftdirectorcompen.htm">
              <w:r>
                <w:rPr>
                  <w:rStyle w:val="InternetLink"/>
                  <w:rFonts w:ascii="Arial;sans-serif" w:hAnsi="Arial;sans-serif"/>
                  <w:b w:val="false"/>
                  <w:color w:val="000080"/>
                  <w:sz w:val="20"/>
                </w:rPr>
                <w:t>ly</w:t>
              </w:r>
            </w:hyperlink>
            <w:hyperlink w:anchor="liftoffdraftdirectorcompen.htm">
              <w:r>
                <w:rPr>
                  <w:rStyle w:val="InternetLink"/>
                  <w:rFonts w:ascii="Arial;sans-serif" w:hAnsi="Arial;sans-serif"/>
                  <w:b w:val="false"/>
                  <w:color w:val="000080"/>
                  <w:sz w:val="20"/>
                </w:rPr>
                <w:t xml:space="preserve"> 3</w:t>
              </w:r>
            </w:hyperlink>
            <w:hyperlink w:anchor="liftoffdraftdirectorcompen.htm">
              <w:r>
                <w:rPr>
                  <w:rStyle w:val="InternetLink"/>
                  <w:rFonts w:ascii="Arial;sans-serif" w:hAnsi="Arial;sans-serif"/>
                  <w:b w:val="false"/>
                  <w:color w:val="000080"/>
                  <w:sz w:val="20"/>
                </w:rPr>
                <w:t>0</w:t>
              </w:r>
            </w:hyperlink>
            <w:hyperlink w:anchor="liftoffdraftdirectorcompen.htm">
              <w:r>
                <w:rPr>
                  <w:rStyle w:val="InternetLink"/>
                  <w:rFonts w:ascii="Arial;sans-serif" w:hAnsi="Arial;sans-serif"/>
                  <w:b w:val="false"/>
                  <w:color w:val="000080"/>
                  <w:sz w:val="20"/>
                </w:rPr>
                <w:t>, 2026</w:t>
              </w:r>
            </w:hyperlink>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ofdirectorannualrsuawa.htm">
              <w:r>
                <w:rPr>
                  <w:rStyle w:val="InternetLink"/>
                  <w:rFonts w:ascii="Arial;sans-serif" w:hAnsi="Arial;sans-serif"/>
                  <w:b w:val="false"/>
                  <w:color w:val="000080"/>
                  <w:sz w:val="20"/>
                </w:rPr>
                <w:t>Form of Agreement for Grants of Restricted Stock Units to Directors under the 2026 Omnibus Plan (adopted as of June 30, 2026)</w:t>
              </w:r>
            </w:hyperlink>
            <w:r>
              <w:rPr>
                <w:rFonts w:ascii="Arial;sans-serif" w:hAnsi="Arial;sans-serif"/>
                <w:b w:val="false"/>
                <w:color w:val="000000"/>
                <w:sz w:val="20"/>
              </w:rPr>
              <w:t xml:space="preserve"> </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fto-q2202610xqxexx3118159.htm">
              <w:r>
                <w:rPr>
                  <w:rStyle w:val="InternetLink"/>
                  <w:rFonts w:ascii="Arial;sans-serif" w:hAnsi="Arial;sans-serif"/>
                  <w:b w:val="false"/>
                  <w:color w:val="000080"/>
                  <w:sz w:val="20"/>
                </w:rPr>
                <w:t>Certification of Principal Executive Officer pursuant to Exchange Act Rules 13a-14(a) and 15d-14(a), as adopted pursuant to Section 302 of the Sarbanes-Oxley Act of 2002</w:t>
              </w:r>
            </w:hyperlink>
            <w:r>
              <w:rPr>
                <w:rFonts w:ascii="Arial;sans-serif" w:hAnsi="Arial;sans-serif"/>
                <w:b w:val="false"/>
                <w:color w:val="000000"/>
                <w:sz w:val="20"/>
              </w:rPr>
              <w:t>.</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fto-q2202610xqxexx3128159.htm">
              <w:r>
                <w:rPr>
                  <w:rStyle w:val="InternetLink"/>
                  <w:rFonts w:ascii="Arial;sans-serif" w:hAnsi="Arial;sans-serif"/>
                  <w:b w:val="false"/>
                  <w:color w:val="000080"/>
                  <w:sz w:val="20"/>
                </w:rPr>
                <w:t>Certification of Principal Financial Officer pursuant to Exchange Act Rules 13a-14(a) and 15d-14(a), as adopted pursuant to Section 302 of the Sarbanes-Oxley Act of 2002</w:t>
              </w:r>
            </w:hyperlink>
            <w:r>
              <w:rPr>
                <w:rFonts w:ascii="Arial;sans-serif" w:hAnsi="Arial;sans-serif"/>
                <w:b w:val="false"/>
                <w:color w:val="000000"/>
                <w:sz w:val="20"/>
              </w:rPr>
              <w:t>.</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fto-q2202610xqxexx3218159.htm">
              <w:r>
                <w:rPr>
                  <w:rStyle w:val="InternetLink"/>
                  <w:rFonts w:ascii="Arial;sans-serif" w:hAnsi="Arial;sans-serif"/>
                  <w:b w:val="false"/>
                  <w:color w:val="000080"/>
                  <w:sz w:val="20"/>
                </w:rPr>
                <w:t>Certification</w:t>
              </w:r>
            </w:hyperlink>
            <w:hyperlink w:anchor="lfto-q2202610xqxexx3218159.htm">
              <w:r>
                <w:rPr>
                  <w:rStyle w:val="InternetLink"/>
                  <w:rFonts w:ascii="Arial;sans-serif" w:hAnsi="Arial;sans-serif"/>
                  <w:b w:val="false"/>
                  <w:color w:val="000080"/>
                  <w:sz w:val="20"/>
                </w:rPr>
                <w:t xml:space="preserve"> of Principal Executive Officer</w:t>
              </w:r>
            </w:hyperlink>
            <w:hyperlink w:anchor="lfto-q2202610xqxexx3218159.htm">
              <w:r>
                <w:rPr>
                  <w:rStyle w:val="InternetLink"/>
                  <w:rFonts w:ascii="Arial;sans-serif" w:hAnsi="Arial;sans-serif"/>
                  <w:b w:val="false"/>
                  <w:color w:val="000080"/>
                  <w:sz w:val="20"/>
                </w:rPr>
                <w:t xml:space="preserve"> pursuant to 18 U.S.C. Section 1350, as adopted pursuant to Section 906 of the Sarbanes-Oxley Act of 2002</w:t>
              </w:r>
            </w:hyperlink>
            <w:r>
              <w:rPr>
                <w:rFonts w:ascii="Arial;sans-serif" w:hAnsi="Arial;sans-serif"/>
                <w:b w:val="false"/>
                <w:color w:val="000000"/>
                <w:sz w:val="20"/>
              </w:rPr>
              <w:t>.</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fto-q2202610xqxexx3228159.htm">
              <w:r>
                <w:rPr>
                  <w:rStyle w:val="InternetLink"/>
                  <w:rFonts w:ascii="Arial;sans-serif" w:hAnsi="Arial;sans-serif"/>
                  <w:b w:val="false"/>
                  <w:color w:val="000080"/>
                  <w:sz w:val="20"/>
                </w:rPr>
                <w:t>Certification</w:t>
              </w:r>
            </w:hyperlink>
            <w:hyperlink w:anchor="lfto-q2202610xqxexx3228159.htm">
              <w:r>
                <w:rPr>
                  <w:rStyle w:val="InternetLink"/>
                  <w:rFonts w:ascii="Arial;sans-serif" w:hAnsi="Arial;sans-serif"/>
                  <w:b w:val="false"/>
                  <w:color w:val="000080"/>
                  <w:sz w:val="20"/>
                </w:rPr>
                <w:t xml:space="preserve"> of</w:t>
              </w:r>
            </w:hyperlink>
            <w:hyperlink w:anchor="lfto-q2202610xqxexx3228159.htm">
              <w:r>
                <w:rPr>
                  <w:rStyle w:val="InternetLink"/>
                  <w:rFonts w:ascii="Arial;sans-serif" w:hAnsi="Arial;sans-serif"/>
                  <w:b w:val="false"/>
                  <w:color w:val="000080"/>
                  <w:sz w:val="20"/>
                </w:rPr>
                <w:t xml:space="preserve"> Principal Financial Officer pursuant to 18 U.S.C. Section 1350, as adopted pursuant to Section 906 of the Sarbanes-Oxley Act of 2002</w:t>
              </w:r>
            </w:hyperlink>
            <w:r>
              <w:rPr>
                <w:rFonts w:ascii="Arial;sans-serif" w:hAnsi="Arial;sans-serif"/>
                <w:b w:val="false"/>
                <w:color w:val="000000"/>
                <w:sz w:val="20"/>
              </w:rPr>
              <w:t>.</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financial statements from the Company’s Quarterly Report on Form 10-Q for the quarter ended June 30, 2026, formatted in Inline XBRL: (i) Condensed Consolidated Balance Sheets, (ii) Condensed Consolidated Statements of Operations, (iii) Condensed Consolidated Statements of Comprehensive Income (Loss), (iv) Condensed Consolidated Statements of Redeemable Convertible Preferred Stock and Stockholders’ Equity (Deficit), (v) Condensed Consolidated Statements of Cash Flows, and (vi) Notes to Condensed Consolidated Financial Statements.</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6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rPr>
        <w:t>Filed herewith</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This exhibit shall not be deemed “filed” for purposes of Section 18 of the Exchange Act or otherwise subject to the liability of that Section. Such exhibit shall not be deemed incorporated into any filing under the Securities Act or the Exchange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bookmarkStart w:id="42" w:name="i0bd986f54f69447d944bfd12fdbf01b7"/>
      <w:bookmarkEnd w:id="42"/>
      <w:r>
        <w:rPr>
          <w:rFonts w:ascii="Arial;sans-serif" w:hAnsi="Arial;sans-serif"/>
          <w:b/>
          <w:color w:val="000000"/>
          <w:sz w:val="28"/>
        </w:rPr>
        <w:t>Signatures</w:t>
      </w:r>
    </w:p>
    <w:p>
      <w:pPr>
        <w:pStyle w:val="TextBody"/>
        <w:bidi w:val="0"/>
        <w:spacing w:before="0" w:after="0"/>
        <w:jc w:val="center"/>
        <w:rPr/>
      </w:pPr>
      <w:r>
        <w:rPr/>
      </w:r>
    </w:p>
    <w:p>
      <w:pPr>
        <w:pStyle w:val="TextBody"/>
        <w:bidi w:val="0"/>
        <w:spacing w:lineRule="auto" w:line="268" w:before="0" w:after="0"/>
        <w:ind w:left="0" w:right="0" w:firstLine="907"/>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ind w:left="0" w:right="0" w:firstLine="5040"/>
        <w:jc w:val="left"/>
        <w:rPr/>
      </w:pPr>
      <w:r>
        <w:rPr/>
      </w:r>
    </w:p>
    <w:p>
      <w:pPr>
        <w:pStyle w:val="TextBody"/>
        <w:bidi w:val="0"/>
        <w:spacing w:before="0" w:after="0"/>
        <w:jc w:val="left"/>
        <w:rPr/>
      </w:pPr>
      <w:r>
        <w:rPr/>
      </w:r>
    </w:p>
    <w:tbl>
      <w:tblPr>
        <w:tblW w:w="5742" w:type="dxa"/>
        <w:jc w:val="left"/>
        <w:tblInd w:w="0" w:type="dxa"/>
        <w:tblLayout w:type="fixed"/>
        <w:tblCellMar>
          <w:top w:w="28" w:type="dxa"/>
          <w:left w:w="28" w:type="dxa"/>
          <w:bottom w:w="28" w:type="dxa"/>
          <w:right w:w="28" w:type="dxa"/>
        </w:tblCellMar>
      </w:tblPr>
      <w:tblGrid>
        <w:gridCol w:w="749"/>
        <w:gridCol w:w="657"/>
        <w:gridCol w:w="664"/>
        <w:gridCol w:w="109"/>
        <w:gridCol w:w="109"/>
        <w:gridCol w:w="109"/>
        <w:gridCol w:w="976"/>
        <w:gridCol w:w="976"/>
        <w:gridCol w:w="1393"/>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LIFTOFF MOBILE,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Jeremy Bondy</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Tarek Kutrieh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ptos;sans-serif" w:hAnsi="Aptos;sans-serif"/>
          <w:b/>
          <w:color w:val="000000"/>
          <w:sz w:val="24"/>
        </w:rPr>
      </w:pPr>
      <w:r>
        <w:rPr>
          <w:rFonts w:ascii="Aptos;sans-serif" w:hAnsi="Aptos;sans-serif"/>
          <w:b/>
          <w:color w:val="000000"/>
          <w:sz w:val="24"/>
        </w:rPr>
        <w:t>Exhibit 10.7</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321" w:before="0" w:after="160"/>
        <w:jc w:val="right"/>
        <w:rPr/>
      </w:pPr>
      <w:r>
        <w:rPr/>
        <w:drawing>
          <wp:inline distT="0" distB="0" distL="0" distR="0">
            <wp:extent cx="857250" cy="304800"/>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25"/>
                    <a:stretch>
                      <a:fillRect/>
                    </a:stretch>
                  </pic:blipFill>
                  <pic:spPr bwMode="auto">
                    <a:xfrm>
                      <a:off x="0" y="0"/>
                      <a:ext cx="857250" cy="304800"/>
                    </a:xfrm>
                    <a:prstGeom prst="rect">
                      <a:avLst/>
                    </a:prstGeom>
                  </pic:spPr>
                </pic:pic>
              </a:graphicData>
            </a:graphic>
          </wp:inline>
        </w:drawing>
      </w:r>
      <w:r>
        <w:rPr>
          <w:color w:val="000000"/>
        </w:rPr>
        <w:t>        </w:t>
      </w:r>
    </w:p>
    <w:p>
      <w:pPr>
        <w:pStyle w:val="TextBody"/>
        <w:bidi w:val="0"/>
        <w:spacing w:before="0" w:after="160"/>
        <w:jc w:val="right"/>
        <w:rPr/>
      </w:pPr>
      <w:r>
        <w:rPr/>
      </w:r>
    </w:p>
    <w:p>
      <w:pPr>
        <w:pStyle w:val="TextBody"/>
        <w:bidi w:val="0"/>
        <w:spacing w:before="0" w:after="160"/>
        <w:jc w:val="left"/>
        <w:rPr/>
      </w:pPr>
      <w:r>
        <w:rPr/>
      </w:r>
    </w:p>
    <w:p>
      <w:pPr>
        <w:pStyle w:val="TextBody"/>
        <w:bidi w:val="0"/>
        <w:spacing w:lineRule="auto" w:line="321" w:before="0" w:after="160"/>
        <w:jc w:val="left"/>
        <w:rPr>
          <w:rFonts w:ascii="Proxima Nova;sans-serif" w:hAnsi="Proxima Nova;sans-serif"/>
          <w:b w:val="false"/>
          <w:color w:val="000000"/>
          <w:sz w:val="40"/>
        </w:rPr>
      </w:pPr>
      <w:r>
        <w:rPr>
          <w:rFonts w:ascii="Proxima Nova;sans-serif" w:hAnsi="Proxima Nova;sans-serif"/>
          <w:b w:val="false"/>
          <w:color w:val="000000"/>
          <w:sz w:val="40"/>
        </w:rPr>
        <w:t>Liftoff Non-Employee Director Compensation Policy</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 xml:space="preserve">The Board of Directors (the “Board”) of Liftoff Mobile, Inc. (the “Company”) has adopted this compensation policy for the Company’s eligible directors (this “Director Compensation Policy”). For purposes of this Director Compensation Policy, “Eligible Director” has the meaning set forth under “Eligibility” below. Equity awards under this Director Compensation Policy will be granted under the Company’s 2026 Omnibus Incentive Plan, as it may be amended or amended and restated from time to time (the “Plan”). This Director Compensation Policy shall become effective upon the Effective Date (as herein defined), and shall remain in effect until it is amended, modified or terminated by further action of the Board. </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 xml:space="preserve">Cash Compensation </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Eligible Directors are entitled to receive the following cash compensation for their service under this Director Compensation Policy:</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$50,000 retainer per year for each Eligible Director;</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$25,000 additional retainer per year for service in the applicable Board leadership role, whether as Chairperson of the Board or Lead Director;</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$30,000 additional retainer per year for the chair of the Audit Committee;</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$10,000 additional retainer per year for each other member of the Audit Committee;</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$25,000 additional retainer per year for the chair of the Nominating and Corporate Governance Committee;</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$10,000 additional retainer per year for each other member of the Nominating and Corporate Governance Committee;</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$20,000 additional retainer per year for the chair of the Compensation Committee; and</w:t>
      </w:r>
    </w:p>
    <w:p>
      <w:pPr>
        <w:pStyle w:val="TextBody"/>
        <w:bidi w:val="0"/>
        <w:spacing w:lineRule="auto" w:line="321" w:before="0" w:after="160"/>
        <w:ind w:left="0" w:right="0" w:hanging="360"/>
        <w:jc w:val="left"/>
        <w:rPr/>
      </w:pPr>
      <w:r>
        <w:rPr>
          <w:color w:val="000000"/>
        </w:rPr>
        <w:t>●</w:t>
      </w:r>
      <w:r>
        <w:rPr>
          <w:rFonts w:ascii="Proxima Nova;sans-serif" w:hAnsi="Proxima Nova;sans-serif"/>
          <w:b w:val="false"/>
          <w:color w:val="000000"/>
          <w:sz w:val="22"/>
        </w:rPr>
        <w:t>$10,000 additional retainer per year for each other member of the Compensation Committee.</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All cash payments to Eligible Directors will be paid quarterly in arrears in respect of the immediately preceding fiscal quarter, with each retainer paid in four equal installments (one-quarter of the applicable annual retainer for each fiscal quarter), on or before the 30th day after the end of the fiscal quarter to which such installment relates, unless validly deferred under an approved deferred compensation arrangement, if any. For the avoidance of doubt, an Eligible Director who serves as the chair of a committee will receive only the applicable committee chair retainer for service on such committee and will not receive the committee member retainer for such committee for any overlapping period of service.</w:t>
      </w:r>
    </w:p>
    <w:p>
      <w:pPr>
        <w:pStyle w:val="TextBody"/>
        <w:bidi w:val="0"/>
        <w:spacing w:before="0" w:after="16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Each retainer will be pro-rated based on the number of calendar days during the applicable fiscal year that the Eligible Director served in the relevant role (Board membership, Chairperson of the Board or Lead Director, committee chair, or committee member, as applicable). Service in a role commences on the date the director is appointed or elected to such role by the Board, the independent directors, the stockholders or other applicable appointing or electing body, as applicable, and ends on the date the director ceases to hold such role. If a director transitions between roles during a fiscal year—including from committee member to committee chair of the same committee (or vice versa) or between committees—each applicable retainer will be calculated independently based on calendar days served in that role. Pro-rated amounts owed to an Eligible Director who ceases service during a fiscal quarter will be paid at the same time as cash compensation is paid to continuing Eligible Directors for such quarter, notwithstanding such cessation.</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Equity Compensation</w:t>
      </w:r>
    </w:p>
    <w:p>
      <w:pPr>
        <w:pStyle w:val="TextBody"/>
        <w:bidi w:val="0"/>
        <w:spacing w:lineRule="auto" w:line="321" w:before="0" w:after="160"/>
        <w:jc w:val="left"/>
        <w:rPr>
          <w:rFonts w:ascii="Proxima Nova;sans-serif" w:hAnsi="Proxima Nova;sans-serif"/>
          <w:b w:val="false"/>
          <w:i/>
          <w:color w:val="000000"/>
          <w:sz w:val="22"/>
        </w:rPr>
      </w:pPr>
      <w:r>
        <w:rPr>
          <w:rFonts w:ascii="Proxima Nova;sans-serif" w:hAnsi="Proxima Nova;sans-serif"/>
          <w:b w:val="false"/>
          <w:i/>
          <w:color w:val="000000"/>
          <w:sz w:val="22"/>
        </w:rPr>
        <w:t>IPO Award</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 xml:space="preserve">Each person serving as an Eligible Director as of the Effective Date will automatically be granted, on August 4, 2026 (i.e., the date that is 60 days following the closing of the Company’s initial public offering), an award of Restricted Stock Units (as defined in the Plan) with an Award Value (as defined below) of $235,000 (the “IPO Award”). The IPO Award will vest on the earlier of the one-year anniversary of the grant date and the date of the first annual meeting of stockholders following the grant date. </w:t>
      </w:r>
    </w:p>
    <w:p>
      <w:pPr>
        <w:pStyle w:val="TextBody"/>
        <w:bidi w:val="0"/>
        <w:spacing w:lineRule="auto" w:line="321" w:before="0" w:after="160"/>
        <w:jc w:val="left"/>
        <w:rPr>
          <w:rFonts w:ascii="Proxima Nova;sans-serif" w:hAnsi="Proxima Nova;sans-serif"/>
          <w:b w:val="false"/>
          <w:i/>
          <w:color w:val="000000"/>
          <w:sz w:val="22"/>
        </w:rPr>
      </w:pPr>
      <w:r>
        <w:rPr>
          <w:rFonts w:ascii="Proxima Nova;sans-serif" w:hAnsi="Proxima Nova;sans-serif"/>
          <w:b w:val="false"/>
          <w:i/>
          <w:color w:val="000000"/>
          <w:sz w:val="22"/>
        </w:rPr>
        <w:t>Initial Award</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 xml:space="preserve">Each person who first becomes an Eligible Director after the Effective Date will automatically be granted, on the first trading day on or after the date on which the person first becomes an Eligible Director, an award of Restricted Stock Units with an Award Value of $325,000 (the “Initial Award”). The Initial Award will vest in three equal annual installments on each of the first three anniversaries of the grant date. </w:t>
      </w:r>
    </w:p>
    <w:p>
      <w:pPr>
        <w:pStyle w:val="TextBody"/>
        <w:bidi w:val="0"/>
        <w:spacing w:lineRule="auto" w:line="321" w:before="0" w:after="160"/>
        <w:jc w:val="left"/>
        <w:rPr>
          <w:rFonts w:ascii="Proxima Nova;sans-serif" w:hAnsi="Proxima Nova;sans-serif"/>
          <w:b w:val="false"/>
          <w:i/>
          <w:color w:val="000000"/>
          <w:sz w:val="22"/>
        </w:rPr>
      </w:pPr>
      <w:r>
        <w:rPr>
          <w:rFonts w:ascii="Proxima Nova;sans-serif" w:hAnsi="Proxima Nova;sans-serif"/>
          <w:b w:val="false"/>
          <w:i/>
          <w:color w:val="000000"/>
          <w:sz w:val="22"/>
        </w:rPr>
        <w:t>Annual Award</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On the date of each annual meeting of our stockholders held after the Effective Date (or, if such date is not a trading day, the first trading day thereafter), each Eligible Director who is continuing as a director following such meeting will automatically be granted an award of Restricted Stock Units with an Award Value of $235,000 (the “Annual Award”). Each Annual Award will vest on the earlier of the one-year anniversary of the grant date and the date of the first annual meeting of stockholders following the grant date.</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 xml:space="preserve">Notwithstanding the foregoing, Eligible Directors receiving an Initial Award will not receive an Annual Award in respect of the first annual meeting of stockholders occurring on or after the date such Eligible Director first becomes an Eligible Director. </w:t>
      </w:r>
    </w:p>
    <w:p>
      <w:pPr>
        <w:pStyle w:val="TextBody"/>
        <w:bidi w:val="0"/>
        <w:spacing w:before="0" w:after="16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7"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2</w:t>
                      </w:r>
                    </w:p>
                  </w:txbxContent>
                </v:textbox>
                <w10:wrap type="none"/>
              </v:rect>
            </w:pict>
          </mc:Fallback>
        </mc:AlternateContent>
      </w:r>
    </w:p>
    <w:p>
      <w:pPr>
        <w:pStyle w:val="TextBody"/>
        <w:bidi w:val="0"/>
        <w:spacing w:lineRule="auto" w:line="321" w:before="0" w:after="160"/>
        <w:jc w:val="left"/>
        <w:rPr>
          <w:rFonts w:ascii="Proxima Nova;sans-serif" w:hAnsi="Proxima Nova;sans-serif"/>
          <w:b w:val="false"/>
          <w:i/>
          <w:color w:val="000000"/>
          <w:sz w:val="22"/>
        </w:rPr>
      </w:pPr>
      <w:r>
        <w:rPr>
          <w:rFonts w:ascii="Proxima Nova;sans-serif" w:hAnsi="Proxima Nova;sans-serif"/>
          <w:b w:val="false"/>
          <w:i/>
          <w:color w:val="000000"/>
          <w:sz w:val="22"/>
        </w:rPr>
        <w:t>Vesting, Change in Control and Impact of Termination</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Except as otherwise noted herein, continued vesting of an IPO Award, an Initial Award or an Annual Award is contingent upon the award holder’s continued service as a member of the Board through the applicable vesting date, and if the holder ceases to serve as a member of the Board for any reason prior to the vesting date, the unvested portion of the award will be forfeited for no consideration as of the date such Board service ceases.</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In the event of a Change in Control (as defined in the Plan), each Eligible Director will fully vest in any outstanding IPO Awards, Initial Awards, and Annual Awards and any other outstanding Company equity awards, subject to the terms of the Plan and the applicable award agreements.</w:t>
      </w:r>
    </w:p>
    <w:p>
      <w:pPr>
        <w:pStyle w:val="TextBody"/>
        <w:bidi w:val="0"/>
        <w:spacing w:lineRule="auto" w:line="321" w:before="0" w:after="160"/>
        <w:ind w:left="0" w:right="0" w:hanging="360"/>
        <w:jc w:val="left"/>
        <w:rPr/>
      </w:pPr>
      <w:r>
        <w:rPr>
          <w:color w:val="000000"/>
        </w:rPr>
        <w:t>●</w:t>
      </w:r>
      <w:r>
        <w:rPr>
          <w:rFonts w:ascii="Proxima Nova;sans-serif" w:hAnsi="Proxima Nova;sans-serif"/>
          <w:b w:val="false"/>
          <w:color w:val="000000"/>
          <w:sz w:val="22"/>
        </w:rPr>
        <w:t>In the event of an Eligible Director’s termination due to death or Disability (as defined in the Plan), that Eligible Director will fully vest in any outstanding IPO Awards, Initial Awards, and Annual Awards and any other outstanding Company equity awards.</w:t>
      </w:r>
    </w:p>
    <w:p>
      <w:pPr>
        <w:pStyle w:val="TextBody"/>
        <w:bidi w:val="0"/>
        <w:spacing w:lineRule="auto" w:line="321" w:before="0" w:after="160"/>
        <w:jc w:val="left"/>
        <w:rPr>
          <w:rFonts w:ascii="Proxima Nova;sans-serif" w:hAnsi="Proxima Nova;sans-serif"/>
          <w:b w:val="false"/>
          <w:i/>
          <w:color w:val="000000"/>
          <w:sz w:val="22"/>
        </w:rPr>
      </w:pPr>
      <w:r>
        <w:rPr>
          <w:rFonts w:ascii="Proxima Nova;sans-serif" w:hAnsi="Proxima Nova;sans-serif"/>
          <w:b w:val="false"/>
          <w:i/>
          <w:color w:val="000000"/>
          <w:sz w:val="22"/>
        </w:rPr>
        <w:t>Other Equity Award Terms</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 xml:space="preserve">All IPO Awards, Initial Awards and Annual Awards will be granted under the Plan and will be subject to the terms of the Plan, this Director Compensation Policy and the applicable award agreement. </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For purposes of this Director Compensation Policy, “Award Value” means the dollar amount used solely to determine the number of Restricted Stock Units subject to an IPO Award, Initial Award or Annual Award pursuant to the share-count formula set forth below. Award Value is not intended to equal, and may differ from, the grant-date fair value of such award determined for financial reporting purposes under FASB ASC Topic 718 or the value taken into account for purposes of the Director Limit.</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The number of shares underlying each IPO Award, Initial Award and Annual Award will be calculated by dividing the Award Value of such award by the closing sales price of one share of the Company’s common stock on the Nasdaq Global Select Market, or such other principal exchange on which such common stock is then listed, on the applicable grant date, as reported by Bloomberg or another nationally recognized reporting service selected by the Company, rounded down to the nearest whole share.</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Except to the extent settlement has been validly deferred under an approved deferred compensation arrangement, if any, each IPO Award, Initial Award and Annual Award will be settled solely in shares of common stock as soon as administratively practicable following the applicable vesting date, but in no event later than 30 days after vesting.</w:t>
      </w:r>
    </w:p>
    <w:p>
      <w:pPr>
        <w:pStyle w:val="TextBody"/>
        <w:bidi w:val="0"/>
        <w:spacing w:lineRule="auto" w:line="321" w:before="0" w:after="200"/>
        <w:ind w:left="0" w:right="0" w:hanging="360"/>
        <w:jc w:val="left"/>
        <w:rPr/>
      </w:pPr>
      <w:r>
        <w:rPr>
          <w:color w:val="000000"/>
        </w:rPr>
        <w:t>●</w:t>
      </w:r>
      <w:r>
        <w:rPr>
          <w:rFonts w:ascii="Proxima Nova;sans-serif" w:hAnsi="Proxima Nova;sans-serif"/>
          <w:b w:val="false"/>
          <w:color w:val="000000"/>
          <w:sz w:val="22"/>
        </w:rPr>
        <w:t xml:space="preserve">Each IPO Award, Initial Award and Annual Award will include dividend equivalent rights. If the Company pays a cash dividend on its common stock while any such award is outstanding, the applicable Eligible Director will be credited with dividend equivalents in respect of the Restricted Stock Units subject to such award as of the dividend record date, in an amount equal to the cash dividends that would have been paid on the shares </w:t>
      </w:r>
    </w:p>
    <w:p>
      <w:pPr>
        <w:pStyle w:val="TextBody"/>
        <w:bidi w:val="0"/>
        <w:spacing w:before="0" w:after="16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8"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3</w:t>
                      </w:r>
                    </w:p>
                  </w:txbxContent>
                </v:textbox>
                <w10:wrap type="none"/>
              </v:rect>
            </w:pict>
          </mc:Fallback>
        </mc:AlternateConten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of common stock underlying such Restricted Stock Units had those shares been outstanding on such record date. Dividend equivalents will be accumulated without interest, will be subject to the same vesting, forfeiture and acceleration conditions, and the same settlement timing, as the Restricted Stock Units to which they relate, and will be paid only if, when and to the extent the related Restricted Stock Units vest and are settled. Dividend equivalents will be settled solely in cash at the same time as the Restricted Stock Units to which they relate are settled, unless validly deferred under an approved deferred compensation arrangement, if any. If the Company pays a stock dividend on its common stock while any such award is outstanding, the Administrator shall adjust, in a manner consistent with the “Adjustment Event” provisions in the Plan, the number and class of shares or securities of the Company underlying the Restricted Stock Units held by the Eligible Directors and any other terms with respect to the Restricted Stock Units as it deems appropriate under the circumstances.</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Eligibility</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For purposes of this Director Compensation Policy, an “Eligible Director” means a director who is not then employed by the Company or any of its subsidiaries or affiliated with BCP Redbird Aggregator L.P. or General Atlantic (LFT), L.P. A director is "affiliated with" an entity if such director (1) is an employee, officer, partner, member, manager or principal of such entity or any of its affiliates (within the meaning of Rule 12b-2 promulgated under the Securities Exchange Act of 1934, as amended), or (2) was designated or nominated for election or appointment to the Board by such entity pursuant to any contractual, charter or other right held by such entity (and continues to serve as such designee or nominee).</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 xml:space="preserve">If a director who is initially excluded from the definition of “Eligible Director” because of affiliation with BCP Redbird Aggregator L.P. or General Atlantic (LFT), L.P. subsequently ceases to be affiliated with such entity while continuing to serve as a director, such director will be deemed to first become an Eligible Director under this Director Compensation Policy as of the date such affiliation actually ceased (the "Eligibility Date"), as determined by the Board in good faith. The Board's determination may be made retroactively to the Eligibility Date, and the Eligibility Date may precede the date of the Board's determination. From and after the Eligibility Date, such director will be eligible to receive cash compensation under this Director Compensation Policy on the same basis as any other Eligible Director, pro-rated based on calendar days served on and after the Eligibility Date. Any cash compensation attributable to a retroactive Eligibility Date will be paid at the same time as cash compensation is paid to other Eligible Directors for the applicable fiscal quarter; provided that, if the Board’s determination occurs after such payment date, such amount will be paid as soon as administratively practicable following the Board’s determination, but only to the extent such payment may be made in compliance with, or pursuant to an exemption from, Section 409A of the Internal Revenue Code of 1986, as amended (“Section 409A”). Such director will also be eligible to receive equity compensation under this Director Compensation Policy on the same basis as any other Eligible Director, except that (1) the Initial Award will be granted on the first trading day on or after the date the Board makes such determination, and (2) such director will not be entitled to any Annual Award in respect of any annual meeting of stockholders that occurred on or before the date of the Board's determination, </w:t>
      </w:r>
    </w:p>
    <w:p>
      <w:pPr>
        <w:pStyle w:val="TextBody"/>
        <w:bidi w:val="0"/>
        <w:spacing w:before="0" w:after="16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9"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4</w:t>
                      </w:r>
                    </w:p>
                  </w:txbxContent>
                </v:textbox>
                <w10:wrap type="none"/>
              </v:rect>
            </w:pict>
          </mc:Fallback>
        </mc:AlternateConten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 xml:space="preserve">even if such annual meeting occurred on or after the Eligibility Date. Annual Awards thereafter will be granted at each subsequent annual meeting of stockholders in accordance with the terms of this Director Compensation Policy. </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 xml:space="preserve">If an Eligible Director ceases to be an Eligible Director because such director becomes affiliated with BCP Redbird Aggregator L.P. or General Atlantic (LFT), L.P. while continuing to serve as a member of the Board, then, from and after the date such director ceases to be an Eligible Director, such director will not earn or accrue any additional cash compensation, receive any additional awards under this Director Compensation Policy, or be entitled to any accelerated vesting or other benefit under this Director Compensation Policy with respect to any event occurring after such date. </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 xml:space="preserve">For the avoidance of doubt, any cash compensation that has accrued or been pro-rated for service prior to the date such director ceases to be an Eligible Director, including any additional cash compensation previously approved by the Administrator for extraordinary or special services performed before such date, will remain payable in accordance with the regular payment schedule under this Director Compensation Policy. </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 xml:space="preserve">For the further avoidance of doubt, such cessation of Eligible-Director status will not, by itself, constitute a termination of Board service or result in immediate forfeiture of any previously granted IPO Award, Initial Award or Annual Award, and such awards will remain outstanding and continue to vest solely in accordance with their regular vesting schedule based on the director’s continued service as a member of the Board, subject to the terms of the Plan and the applicable award agreement. </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Plan Limits on Director Compensation</w:t>
      </w:r>
    </w:p>
    <w:p>
      <w:pPr>
        <w:pStyle w:val="TextBody"/>
        <w:bidi w:val="0"/>
        <w:spacing w:lineRule="auto" w:line="321" w:before="240" w:after="240"/>
        <w:jc w:val="left"/>
        <w:rPr>
          <w:rFonts w:ascii="Proxima Nova;sans-serif" w:hAnsi="Proxima Nova;sans-serif"/>
          <w:b w:val="false"/>
          <w:color w:val="000000"/>
          <w:sz w:val="22"/>
        </w:rPr>
      </w:pPr>
      <w:r>
        <w:rPr>
          <w:rFonts w:ascii="Proxima Nova;sans-serif" w:hAnsi="Proxima Nova;sans-serif"/>
          <w:b w:val="false"/>
          <w:color w:val="000000"/>
          <w:sz w:val="22"/>
        </w:rPr>
        <w:t>Notwithstanding anything in this Director Compensation Policy to the contrary, all compensation paid or granted to an Eligible Director under this Director Compensation Policy will be subject to the per-Non-Employee Director limit set forth in the Plan, as in effect from time to time, including any lower amount determined by the Board in accordance with the Plan, if applicable (the “Director Limit”). For purposes of applying the Director Limit, (1) IPO Awards, Initial Awards and Annual Awards will be valued based on the grant-date fair value of such awards for financial reporting purposes, and (2) cash compensation under this Director Compensation Policy, including annual retainers and any cash compensation approved for special or extraordinary services, will be treated as cash fees for the fiscal year in which such cash compensation is paid.</w:t>
      </w:r>
    </w:p>
    <w:p>
      <w:pPr>
        <w:pStyle w:val="TextBody"/>
        <w:bidi w:val="0"/>
        <w:spacing w:lineRule="auto" w:line="321" w:before="0" w:after="160"/>
        <w:jc w:val="left"/>
        <w:rPr>
          <w:rFonts w:ascii="Proxima Nova;sans-serif" w:hAnsi="Proxima Nova;sans-serif"/>
          <w:b w:val="false"/>
          <w:color w:val="000000"/>
          <w:sz w:val="22"/>
        </w:rPr>
      </w:pPr>
      <w:r>
        <w:rPr>
          <w:rFonts w:ascii="Proxima Nova;sans-serif" w:hAnsi="Proxima Nova;sans-serif"/>
          <w:b w:val="false"/>
          <w:color w:val="000000"/>
          <w:sz w:val="22"/>
        </w:rPr>
        <w:t>If any cash compensation otherwise payable under this Director Compensation Policy, including annual retainers or cash compensation approved for special or extraordinary services, cannot be paid without causing the applicable Eligible Director to exceed the Director Limit for the fiscal year in which such cash compensation would be paid, such cash compensation will be reduced or eliminated to the extent necessary to comply with the Director Limit, and no substitute payment will be made in respect of such reduction or elimination.</w:t>
      </w:r>
    </w:p>
    <w:p>
      <w:pPr>
        <w:pStyle w:val="TextBody"/>
        <w:bidi w:val="0"/>
        <w:spacing w:before="0" w:after="16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70"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5</w:t>
                      </w:r>
                    </w:p>
                  </w:txbxContent>
                </v:textbox>
                <w10:wrap type="none"/>
              </v:rect>
            </w:pict>
          </mc:Fallback>
        </mc:AlternateContent>
      </w:r>
    </w:p>
    <w:p>
      <w:pPr>
        <w:pStyle w:val="TextBody"/>
        <w:bidi w:val="0"/>
        <w:spacing w:lineRule="auto" w:line="321" w:before="240" w:after="240"/>
        <w:jc w:val="left"/>
        <w:rPr>
          <w:rFonts w:ascii="Proxima Nova;sans-serif" w:hAnsi="Proxima Nova;sans-serif"/>
          <w:b w:val="false"/>
          <w:color w:val="000000"/>
          <w:sz w:val="22"/>
        </w:rPr>
      </w:pPr>
      <w:r>
        <w:rPr>
          <w:rFonts w:ascii="Proxima Nova;sans-serif" w:hAnsi="Proxima Nova;sans-serif"/>
          <w:b w:val="false"/>
          <w:color w:val="000000"/>
          <w:sz w:val="22"/>
        </w:rPr>
        <w:t>If the Company determines that the grant of the full number of Restricted Stock Units otherwise issuable pursuant to an IPO Award, Initial Award or Annual Award, when taken together with all other compensation required to be taken into account for purposes of the Director Limit for the same fiscal year, would cause the applicable Eligible Director to exceed the Director Limit, then the number of Restricted Stock Units subject to such award will be reduced, including to zero if necessary, to the largest whole number that may be granted without causing the Director Limit to be exceeded. Any Restricted Stock Units that are not granted as a result of such reduction will not be granted, earned, accrued or otherwise payable, and no cash, equity, substitute award or other payment will be made in respect thereof.</w:t>
      </w:r>
    </w:p>
    <w:p>
      <w:pPr>
        <w:pStyle w:val="TextBody"/>
        <w:bidi w:val="0"/>
        <w:spacing w:lineRule="auto" w:line="321" w:before="240" w:after="240"/>
        <w:jc w:val="left"/>
        <w:rPr>
          <w:rFonts w:ascii="Proxima Nova;sans-serif" w:hAnsi="Proxima Nova;sans-serif"/>
          <w:b w:val="false"/>
          <w:color w:val="000000"/>
          <w:sz w:val="22"/>
        </w:rPr>
      </w:pPr>
      <w:r>
        <w:rPr>
          <w:rFonts w:ascii="Proxima Nova;sans-serif" w:hAnsi="Proxima Nova;sans-serif"/>
          <w:b w:val="false"/>
          <w:color w:val="000000"/>
          <w:sz w:val="22"/>
        </w:rPr>
        <w:t xml:space="preserve">Dividend equivalents credited with respect to an IPO Award, Initial Award or Annual Award will be treated as part of the related award for purposes of the Director Limit and will be taken into account to the extent reflected in the grant-date fair value of such award for financial reporting purposes. To the extent any dividend equivalent or other amount payable with respect to such award is not so reflected, such amount will be treated as compensation for the fiscal year in which it is paid or settled. Any dividend equivalent or other amount that cannot be paid or settled without exceeding the Director Limit will be reduced or eliminated to the extent necessary to comply with the Director Limit, and no substitute payment will be made in respect of such reduction or elimination. </w:t>
      </w:r>
    </w:p>
    <w:p>
      <w:pPr>
        <w:pStyle w:val="TextBody"/>
        <w:bidi w:val="0"/>
        <w:spacing w:lineRule="auto" w:line="321" w:before="240" w:after="240"/>
        <w:jc w:val="left"/>
        <w:rPr>
          <w:rFonts w:ascii="Proxima Nova;sans-serif" w:hAnsi="Proxima Nova;sans-serif"/>
          <w:b w:val="false"/>
          <w:color w:val="000000"/>
          <w:sz w:val="22"/>
        </w:rPr>
      </w:pPr>
      <w:r>
        <w:rPr>
          <w:rFonts w:ascii="Proxima Nova;sans-serif" w:hAnsi="Proxima Nova;sans-serif"/>
          <w:b w:val="false"/>
          <w:color w:val="000000"/>
          <w:sz w:val="22"/>
        </w:rPr>
        <w:t>All determinations under this section will be made by the Administrator in good faith and consistent with the Plan.</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409A Savings</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It is intended that all amounts and benefits payable under this Director Compensation Policy will be either exempt from, or comply with, the requirements of Section 409A, and this Director Compensation Policy will be interpreted, administered and (to the extent necessary) amended in a manner consistent with such intent. Each payment made under this Director Compensation Policy will be treated as a separate payment for purposes of Section 409A. In no event will the Company or any of its affiliates have any liability to any Eligible Director (or to any other person) for any taxes, penalties, interest or other amounts incurred as a result of any failure of this Director Compensation Policy (or any award or payment made hereunder) to comply with, or be exempt from, Section 409A.</w:t>
      </w:r>
    </w:p>
    <w:p>
      <w:pPr>
        <w:pStyle w:val="TextBody"/>
        <w:bidi w:val="0"/>
        <w:spacing w:lineRule="auto" w:line="321" w:before="0" w:after="160"/>
        <w:jc w:val="left"/>
        <w:rPr>
          <w:rFonts w:ascii="Proxima Nova;sans-serif" w:hAnsi="Proxima Nova;sans-serif"/>
          <w:b w:val="false"/>
          <w:i/>
          <w:color w:val="000000"/>
          <w:sz w:val="28"/>
        </w:rPr>
      </w:pPr>
      <w:r>
        <w:rPr>
          <w:rFonts w:ascii="Proxima Nova;sans-serif" w:hAnsi="Proxima Nova;sans-serif"/>
          <w:b w:val="false"/>
          <w:i/>
          <w:color w:val="000000"/>
          <w:sz w:val="28"/>
        </w:rPr>
        <w:t>Deferrals</w:t>
      </w:r>
    </w:p>
    <w:p>
      <w:pPr>
        <w:pStyle w:val="TextBody"/>
        <w:bidi w:val="0"/>
        <w:spacing w:lineRule="auto" w:line="321" w:before="0" w:after="200"/>
        <w:jc w:val="left"/>
        <w:rPr>
          <w:rFonts w:ascii="Proxima Nova;sans-serif" w:hAnsi="Proxima Nova;sans-serif"/>
          <w:b w:val="false"/>
          <w:color w:val="000000"/>
          <w:sz w:val="22"/>
        </w:rPr>
      </w:pPr>
      <w:r>
        <w:rPr>
          <w:rFonts w:ascii="Proxima Nova;sans-serif" w:hAnsi="Proxima Nova;sans-serif"/>
          <w:b w:val="false"/>
          <w:color w:val="000000"/>
          <w:sz w:val="22"/>
        </w:rPr>
        <w:t>Subject to compliance with Section 409A, the Administrator may, in its sole discretion, permit Eligible Directors to defer the receipt of cash compensation, the settlement of Restricted Stock Units and/or the payment of dividend equivalents under this Director Compensation Policy pursuant to one or more deferred compensation arrangements adopted by the Company from time to time. Any such deferral arrangement, including the eligibility, timing and form of permissible elections and the timing and form of distributions, will be set forth in a separate written plan or election form adopted by the Administrator and administered in accordance with Section 409A.</w:t>
      </w:r>
    </w:p>
    <w:p>
      <w:pPr>
        <w:pStyle w:val="TextBody"/>
        <w:bidi w:val="0"/>
        <w:spacing w:before="0" w:after="16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1"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6</w:t>
                      </w:r>
                    </w:p>
                  </w:txbxContent>
                </v:textbox>
                <w10:wrap type="none"/>
              </v:rect>
            </w:pict>
          </mc:Fallback>
        </mc:AlternateContent>
      </w:r>
    </w:p>
    <w:p>
      <w:pPr>
        <w:pStyle w:val="TextBody"/>
        <w:bidi w:val="0"/>
        <w:spacing w:lineRule="auto" w:line="319" w:before="0" w:after="200"/>
        <w:jc w:val="left"/>
        <w:rPr>
          <w:rFonts w:ascii="Proxima Nova;sans-serif" w:hAnsi="Proxima Nova;sans-serif"/>
          <w:b w:val="false"/>
          <w:i/>
          <w:color w:val="000000"/>
          <w:sz w:val="28"/>
        </w:rPr>
      </w:pPr>
      <w:r>
        <w:rPr>
          <w:rFonts w:ascii="Proxima Nova;sans-serif" w:hAnsi="Proxima Nova;sans-serif"/>
          <w:b w:val="false"/>
          <w:i/>
          <w:color w:val="000000"/>
          <w:sz w:val="28"/>
        </w:rPr>
        <w:t>Amendment</w:t>
      </w:r>
    </w:p>
    <w:p>
      <w:pPr>
        <w:pStyle w:val="TextBody"/>
        <w:bidi w:val="0"/>
        <w:spacing w:lineRule="auto" w:line="319" w:before="0" w:after="0"/>
        <w:jc w:val="left"/>
        <w:rPr>
          <w:rFonts w:ascii="Proxima Nova;sans-serif" w:hAnsi="Proxima Nova;sans-serif"/>
          <w:b w:val="false"/>
          <w:color w:val="000000"/>
          <w:sz w:val="22"/>
        </w:rPr>
      </w:pPr>
      <w:r>
        <w:rPr>
          <w:rFonts w:ascii="Proxima Nova;sans-serif" w:hAnsi="Proxima Nova;sans-serif"/>
          <w:b w:val="false"/>
          <w:color w:val="000000"/>
          <w:sz w:val="22"/>
        </w:rPr>
        <w:t>This Director Compensation Policy may be amended, modified or terminated at any time by action by the Board in its sole discretion. Notwithstanding the foregoing, no amendment, modification, suspension or termination of this Director Compensation Policy will materially and adversely affect any cash compensation that has accrued or been pro-rated for service prior to the effective date of such amendment, modification, suspension or termination or any outstanding award granted under this Director Compensation Policy without the affected director's consent, except to the extent required or advisable to comply with the Plan, Section 409A, applicable law, stock exchange rules or accounting requirements.</w:t>
      </w:r>
    </w:p>
    <w:p>
      <w:pPr>
        <w:pStyle w:val="TextBody"/>
        <w:bidi w:val="0"/>
        <w:spacing w:before="0" w:after="0"/>
        <w:jc w:val="left"/>
        <w:rPr/>
      </w:pPr>
      <w:r>
        <w:rPr/>
      </w:r>
    </w:p>
    <w:p>
      <w:pPr>
        <w:pStyle w:val="TextBody"/>
        <w:bidi w:val="0"/>
        <w:spacing w:lineRule="auto" w:line="319" w:before="0" w:after="200"/>
        <w:jc w:val="left"/>
        <w:rPr>
          <w:rFonts w:ascii="Proxima Nova;sans-serif" w:hAnsi="Proxima Nova;sans-serif"/>
          <w:b w:val="false"/>
          <w:i/>
          <w:color w:val="000000"/>
          <w:sz w:val="28"/>
        </w:rPr>
      </w:pPr>
      <w:r>
        <w:rPr>
          <w:rFonts w:ascii="Proxima Nova;sans-serif" w:hAnsi="Proxima Nova;sans-serif"/>
          <w:b w:val="false"/>
          <w:i/>
          <w:color w:val="000000"/>
          <w:sz w:val="28"/>
        </w:rPr>
        <w:t>Administration</w:t>
      </w:r>
    </w:p>
    <w:p>
      <w:pPr>
        <w:pStyle w:val="TextBody"/>
        <w:bidi w:val="0"/>
        <w:spacing w:lineRule="auto" w:line="319" w:before="0" w:after="0"/>
        <w:jc w:val="left"/>
        <w:rPr>
          <w:rFonts w:ascii="Proxima Nova;sans-serif" w:hAnsi="Proxima Nova;sans-serif"/>
          <w:b w:val="false"/>
          <w:color w:val="000000"/>
          <w:sz w:val="22"/>
        </w:rPr>
      </w:pPr>
      <w:r>
        <w:rPr>
          <w:rFonts w:ascii="Proxima Nova;sans-serif" w:hAnsi="Proxima Nova;sans-serif"/>
          <w:b w:val="false"/>
          <w:color w:val="000000"/>
          <w:sz w:val="22"/>
        </w:rPr>
        <w:t>Subject to the terms of the Plan with respect to awards granted under the Plan, this Director Compensation Policy will be administered by the Compensation Committee of the Board (the “Administrator”); provided that the Board may, at any time and from time to time, exercise any rights, duties or authority of the Administrator under this Director Compensation Policy, in which case references to the Administrator will be deemed to refer to the Board with respect to such action, determination or matter. The Administrator will have sole discretion to interpret this Director Compensation Policy, resolve any ambiguity, inconsistency or omission, determine eligibility, determine the amount, timing and form of compensation payable or grantable under this Director Compensation Policy, and make all other determinations necessary or advisable for administration of this Director Compensation Policy. All such determinations will be final, conclusive and binding on all persons.</w:t>
      </w:r>
    </w:p>
    <w:p>
      <w:pPr>
        <w:pStyle w:val="TextBody"/>
        <w:bidi w:val="0"/>
        <w:spacing w:before="0" w:after="0"/>
        <w:jc w:val="left"/>
        <w:rPr/>
      </w:pPr>
      <w:r>
        <w:rPr/>
      </w:r>
    </w:p>
    <w:p>
      <w:pPr>
        <w:pStyle w:val="TextBody"/>
        <w:bidi w:val="0"/>
        <w:spacing w:lineRule="auto" w:line="319"/>
        <w:jc w:val="left"/>
        <w:rPr>
          <w:rFonts w:ascii="Proxima Nova;sans-serif" w:hAnsi="Proxima Nova;sans-serif"/>
          <w:b w:val="false"/>
          <w:color w:val="000000"/>
          <w:sz w:val="22"/>
        </w:rPr>
      </w:pPr>
      <w:r>
        <w:rPr>
          <w:rFonts w:ascii="Proxima Nova;sans-serif" w:hAnsi="Proxima Nova;sans-serif"/>
          <w:b w:val="false"/>
          <w:color w:val="000000"/>
          <w:sz w:val="22"/>
        </w:rPr>
        <w:t>Effective Date: as of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10.8</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72"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21" w:before="0" w:after="160"/>
                        <w:jc w:val="center"/>
                        <w:rPr>
                          <w:rFonts w:ascii="Proxima Nova;sans-serif" w:hAnsi="Proxima Nova;sans-serif"/>
                          <w:b w:val="false"/>
                          <w:color w:val="000000"/>
                          <w:sz w:val="18"/>
                        </w:rPr>
                      </w:pPr>
                      <w:r>
                        <w:rPr>
                          <w:rFonts w:ascii="Proxima Nova;sans-serif" w:hAnsi="Proxima Nova;sans-serif"/>
                          <w:b w:val="false"/>
                          <w:color w:val="000000"/>
                          <w:sz w:val="18"/>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as of July 30, 2026</w: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RESTRICTED STOCK UNIT GRANT NOTICE</w:t>
        <w:br/>
        <w:t>UNDER THE</w:t>
        <w:br/>
        <w:t>LIFTOFF MOBILE, INC.</w:t>
        <w:br/>
        <w:t>2026 OMNIBUS INCENTIVE PLAN</w:t>
      </w:r>
    </w:p>
    <w:p>
      <w:pPr>
        <w:pStyle w:val="TextBody"/>
        <w:bidi w:val="0"/>
        <w:spacing w:lineRule="auto" w:line="288" w:before="0" w:after="80"/>
        <w:jc w:val="center"/>
        <w:rPr>
          <w:rFonts w:ascii="Times New Roman;serif" w:hAnsi="Times New Roman;serif"/>
          <w:b/>
          <w:color w:val="000000"/>
          <w:sz w:val="22"/>
        </w:rPr>
      </w:pPr>
      <w:r>
        <w:rPr>
          <w:rFonts w:ascii="Times New Roman;serif" w:hAnsi="Times New Roman;serif"/>
          <w:b/>
          <w:color w:val="000000"/>
          <w:sz w:val="22"/>
        </w:rPr>
        <w:t>(RSU Grant – Non-Employee Director)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Liftoff Mobile,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the Liftoff Mobile, Inc. 2026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Participant set forth below the number of Restricted Stock Units set forth below (the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The RSUs are subject to all of the terms and conditions as set forth herein, in the Restricted Stock Unit Agreement (attached hereto) (the “</w:t>
      </w:r>
      <w:r>
        <w:rPr>
          <w:rFonts w:ascii="Times New Roman;serif" w:hAnsi="Times New Roman;serif"/>
          <w:b w:val="false"/>
          <w:color w:val="000000"/>
          <w:sz w:val="22"/>
          <w:u w:val="single"/>
        </w:rPr>
        <w:t>RSU Agreement</w:t>
      </w:r>
      <w:r>
        <w:rPr>
          <w:color w:val="000000"/>
        </w:rPr>
        <w:t>”</w:t>
      </w:r>
      <w:r>
        <w:rPr>
          <w:rFonts w:ascii="Times New Roman;serif" w:hAnsi="Times New Roman;serif"/>
          <w:b w:val="false"/>
          <w:color w:val="000000"/>
          <w:sz w:val="22"/>
        </w:rPr>
        <w:t>), and in the Plan, all of which are incorporated herein in their entirety. Capitalized terms not otherwise defined herein shall have the meaning set forth in the Plan.</w:t>
      </w:r>
    </w:p>
    <w:p>
      <w:pPr>
        <w:pStyle w:val="TextBody"/>
        <w:bidi w:val="0"/>
        <w:spacing w:lineRule="auto" w:line="288" w:before="0" w:after="240"/>
        <w:ind w:left="0" w:right="0" w:hanging="3600"/>
        <w:jc w:val="left"/>
        <w:rPr/>
      </w:pPr>
      <w:r>
        <w:rPr>
          <w:rFonts w:ascii="Times New Roman;serif" w:hAnsi="Times New Roman;serif"/>
          <w:b/>
          <w:color w:val="000000"/>
          <w:sz w:val="22"/>
        </w:rPr>
        <w:t>Participant</w:t>
      </w:r>
      <w:r>
        <w:rPr>
          <w:rFonts w:ascii="Times New Roman;serif" w:hAnsi="Times New Roman;serif"/>
          <w:b w:val="false"/>
          <w:color w:val="000000"/>
          <w:sz w:val="22"/>
        </w:rPr>
        <w:t>:    [NAME]</w:t>
      </w:r>
    </w:p>
    <w:p>
      <w:pPr>
        <w:pStyle w:val="TextBody"/>
        <w:bidi w:val="0"/>
        <w:spacing w:lineRule="auto" w:line="288" w:before="0" w:after="240"/>
        <w:ind w:left="0" w:right="0" w:hanging="3600"/>
        <w:jc w:val="left"/>
        <w:rPr/>
      </w:pPr>
      <w:r>
        <w:rPr>
          <w:rFonts w:ascii="Times New Roman;serif" w:hAnsi="Times New Roman;serif"/>
          <w:b/>
          <w:color w:val="000000"/>
          <w:sz w:val="22"/>
        </w:rPr>
        <w:t>Date of Grant</w:t>
      </w:r>
      <w:r>
        <w:rPr>
          <w:rFonts w:ascii="Times New Roman;serif" w:hAnsi="Times New Roman;serif"/>
          <w:b w:val="false"/>
          <w:color w:val="000000"/>
          <w:sz w:val="22"/>
        </w:rPr>
        <w:t>:     [DATE]</w:t>
      </w:r>
    </w:p>
    <w:p>
      <w:pPr>
        <w:pStyle w:val="TextBody"/>
        <w:bidi w:val="0"/>
        <w:spacing w:lineRule="auto" w:line="288" w:before="0" w:after="240"/>
        <w:ind w:left="0" w:right="0" w:hanging="3600"/>
        <w:jc w:val="left"/>
        <w:rPr/>
      </w:pPr>
      <w:r>
        <w:rPr>
          <w:rFonts w:ascii="Times New Roman;serif" w:hAnsi="Times New Roman;serif"/>
          <w:b/>
          <w:color w:val="000000"/>
          <w:sz w:val="22"/>
        </w:rPr>
        <w:t>Number of RSUs</w:t>
      </w:r>
      <w:r>
        <w:rPr>
          <w:rFonts w:ascii="Times New Roman;serif" w:hAnsi="Times New Roman;serif"/>
          <w:b w:val="false"/>
          <w:color w:val="000000"/>
          <w:sz w:val="22"/>
        </w:rPr>
        <w:t>:     [#####]</w:t>
      </w:r>
    </w:p>
    <w:p>
      <w:pPr>
        <w:pStyle w:val="TextBody"/>
        <w:bidi w:val="0"/>
        <w:spacing w:lineRule="auto" w:line="288" w:before="0" w:after="240"/>
        <w:ind w:left="0" w:right="0" w:hanging="3600"/>
        <w:jc w:val="both"/>
        <w:rPr/>
      </w:pPr>
      <w:r>
        <w:rPr>
          <w:rFonts w:ascii="Times New Roman;serif" w:hAnsi="Times New Roman;serif"/>
          <w:b/>
          <w:color w:val="000000"/>
          <w:sz w:val="22"/>
        </w:rPr>
        <w:t>Vesting Schedule</w:t>
      </w:r>
      <w:r>
        <w:rPr>
          <w:rFonts w:ascii="Times New Roman;serif" w:hAnsi="Times New Roman;serif"/>
          <w:b w:val="false"/>
          <w:color w:val="000000"/>
          <w:sz w:val="22"/>
        </w:rPr>
        <w:t xml:space="preserve">:    [Provided the Participant has not undergone a Termination prior to the applicable vesting date (or event), 100% of the RSUs will vest on the earlier of (i) the first anniversary of the Date of Grant and (ii) the first scheduled annual meeting of the stockholders of the Company following the Date of Grant;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RSUs will, to the extent not vested, vest in full upon a Change in Control, subject to the Participant’s continued service with the Company through immediately prior to such Change in Control.]</w:t>
      </w:r>
      <w:r>
        <w:rPr>
          <w:rFonts w:ascii="Times New Roman;serif" w:hAnsi="Times New Roman;serif"/>
          <w:b w:val="false"/>
          <w:color w:val="000000"/>
          <w:sz w:val="14"/>
        </w:rPr>
        <w:t>1</w:t>
      </w:r>
    </w:p>
    <w:p>
      <w:pPr>
        <w:pStyle w:val="TextBody"/>
        <w:bidi w:val="0"/>
        <w:spacing w:lineRule="auto" w:line="288" w:before="0" w:after="240"/>
        <w:jc w:val="both"/>
        <w:rPr/>
      </w:pPr>
      <w:r>
        <w:rPr>
          <w:rFonts w:ascii="Times New Roman;serif" w:hAnsi="Times New Roman;serif"/>
          <w:b w:val="false"/>
          <w:color w:val="000000"/>
          <w:sz w:val="22"/>
        </w:rPr>
        <w:t xml:space="preserve">[Provided the Participant has not undergone a Termination prior to the applicable vesting date (or event), one third (1/3) of the RSUs will vest on each of the first three anniversaries of the Date of Grant such that the RSUs will be fully vested on the third anniversary of the Date of Grant;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RSUs will, to the extent not vested, vest in full upon a Change in Control, subject to the Participant’s continued service with the Company through immediately prior to such Change in Control.]</w:t>
      </w:r>
      <w:r>
        <w:rPr>
          <w:rFonts w:ascii="Times New Roman;serif" w:hAnsi="Times New Roman;serif"/>
          <w:b w:val="false"/>
          <w:color w:val="000000"/>
          <w:sz w:val="14"/>
        </w:rPr>
        <w:t>2</w:t>
      </w:r>
    </w:p>
    <w:p>
      <w:pPr>
        <w:pStyle w:val="TextBody"/>
        <w:bidi w:val="0"/>
        <w:spacing w:lineRule="auto" w:line="288" w:before="0" w:after="240"/>
        <w:ind w:left="0" w:right="0" w:hanging="3600"/>
        <w:jc w:val="both"/>
        <w:rPr/>
      </w:pPr>
      <w:r>
        <w:rPr>
          <w:rFonts w:ascii="Times New Roman;serif" w:hAnsi="Times New Roman;serif"/>
          <w:b/>
          <w:color w:val="000000"/>
          <w:sz w:val="22"/>
        </w:rPr>
        <w:t>Settlement</w:t>
      </w:r>
      <w:r>
        <w:rPr>
          <w:rFonts w:ascii="Times New Roman;serif" w:hAnsi="Times New Roman;serif"/>
          <w:b w:val="false"/>
          <w:color w:val="000000"/>
          <w:sz w:val="22"/>
        </w:rPr>
        <w:t>:    Any RSUs that become vested pursuant to the Vesting Schedule will be settled in accordance with Section 3 of the RSU Agreement.</w:t>
      </w:r>
    </w:p>
    <w:p>
      <w:pPr>
        <w:pStyle w:val="TextBody"/>
        <w:bidi w:val="0"/>
        <w:spacing w:lineRule="auto" w:line="288" w:before="0" w:after="240"/>
        <w:ind w:left="0" w:right="0" w:hanging="3600"/>
        <w:jc w:val="left"/>
        <w:rPr>
          <w:color w:val="000000"/>
        </w:rPr>
      </w:pPr>
      <w:r>
        <w:rPr>
          <w:color w:val="000000"/>
        </w:rPr>
        <w:t>    </w:t>
      </w:r>
      <w:r>
        <w:rPr>
          <w:rFonts w:ascii="Times New Roman;serif" w:hAnsi="Times New Roman;serif"/>
          <w:b w:val="false"/>
          <w:color w:val="000000"/>
          <w:sz w:val="22"/>
        </w:rPr>
        <w:t>*    *    *</w:t>
      </w:r>
    </w:p>
    <w:p>
      <w:pPr>
        <w:pStyle w:val="TextBody"/>
        <w:bidi w:val="0"/>
        <w:spacing w:lineRule="auto" w:line="288" w:before="0" w:after="240"/>
        <w:ind w:left="0" w:right="0" w:hanging="72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color w:val="000000"/>
          <w:sz w:val="22"/>
        </w:rPr>
        <w:t>Note to Draft</w:t>
      </w:r>
      <w:r>
        <w:rPr>
          <w:rFonts w:ascii="Times New Roman;serif" w:hAnsi="Times New Roman;serif"/>
          <w:b w:val="false"/>
          <w:color w:val="000000"/>
          <w:sz w:val="22"/>
        </w:rPr>
        <w:t>: For IPO Awards and Annual Awards</w:t>
      </w:r>
    </w:p>
    <w:p>
      <w:pPr>
        <w:pStyle w:val="TextBody"/>
        <w:bidi w:val="0"/>
        <w:spacing w:lineRule="auto" w:line="288" w:before="0" w:after="240"/>
        <w:ind w:left="0" w:right="0" w:hanging="72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color w:val="000000"/>
          <w:sz w:val="22"/>
        </w:rPr>
        <w:t>Note to Draft</w:t>
      </w:r>
      <w:r>
        <w:rPr>
          <w:rFonts w:ascii="Times New Roman;serif" w:hAnsi="Times New Roman;serif"/>
          <w:b w:val="false"/>
          <w:color w:val="000000"/>
          <w:sz w:val="22"/>
        </w:rPr>
        <w:t>: For Initial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THE UNDERSIGNED PARTICIPANT ACKNOWLEDGES RECEIPT OF THIS RESTRICTED STOCK UNIT GRANT NOTICE, THE RSU AGREEMENT, AND THE PLAN, AND, AS AN EXPRESS CONDITION TO THE GRANT OF RSUS HEREUNDER, AGREES TO BE BOUND BY THE TERMS OF THIS RESTRICTED STOCK UNIT GRANT NOTICE, THE RSU AGREEMENT, AND THE PLAN.</w:t>
      </w:r>
      <w:r>
        <w:rPr>
          <w:color w:val="000000"/>
          <w:u w:val="single"/>
        </w:rPr>
        <w:t xml:space="preserve"> </w:t>
      </w:r>
    </w:p>
    <w:p>
      <w:pPr>
        <w:pStyle w:val="TextBody"/>
        <w:bidi w:val="0"/>
        <w:spacing w:lineRule="auto" w:line="288" w:before="0" w:after="240"/>
        <w:jc w:val="left"/>
        <w:rPr/>
      </w:pPr>
      <w:r>
        <w:rPr>
          <w:rFonts w:ascii="Times New Roman;serif" w:hAnsi="Times New Roman;serif"/>
          <w:b w:val="false"/>
          <w:color w:val="000000"/>
          <w:sz w:val="22"/>
        </w:rPr>
        <w:t>LIFTOFF MOBILE, INC.            PARTICIPANT</w:t>
      </w:r>
      <w:r>
        <w:rPr>
          <w:rFonts w:ascii="Times New Roman;serif" w:hAnsi="Times New Roman;serif"/>
          <w:b w:val="false"/>
          <w:color w:val="000000"/>
          <w:sz w:val="14"/>
        </w:rPr>
        <w:t>3</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        ________________________________</w:t>
        <w:br/>
        <w:t xml:space="preserve">By: </w:t>
        <w:br/>
        <w:t xml:space="preserve">Title: </w:t>
      </w:r>
    </w:p>
    <w:p>
      <w:pPr>
        <w:pStyle w:val="TextBody"/>
        <w:bidi w:val="0"/>
        <w:spacing w:lineRule="auto" w:line="288" w:before="0" w:after="240"/>
        <w:jc w:val="both"/>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16"/>
        </w:rPr>
        <w:t xml:space="preserve">To the extent that the Company has established, either itself or through a third-party plan administrator, the ability to accept this award electronically, such acceptance shall constitute the Participant’s signature 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AGREEMENT</w:t>
        <w:br/>
        <w:t>UNDER THE</w:t>
        <w:br/>
        <w:t>LIFTOFF MOBILE, INC.</w:t>
        <w:br/>
        <w:t>2026 OMNIBUS INCENTIVE PLAN</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Pursuant to the Restricted Stock Unit Grant Notice (the “</w:t>
      </w:r>
      <w:r>
        <w:rPr>
          <w:rFonts w:ascii="Times New Roman;serif" w:hAnsi="Times New Roman;serif"/>
          <w:b w:val="false"/>
          <w:color w:val="000000"/>
          <w:sz w:val="22"/>
          <w:u w:val="single"/>
        </w:rPr>
        <w:t>RSU Grant Notice</w:t>
      </w:r>
      <w:r>
        <w:rPr>
          <w:color w:val="000000"/>
        </w:rPr>
        <w:t>”</w:t>
      </w:r>
      <w:r>
        <w:rPr>
          <w:rFonts w:ascii="Times New Roman;serif" w:hAnsi="Times New Roman;serif"/>
          <w:b w:val="false"/>
          <w:color w:val="000000"/>
          <w:sz w:val="22"/>
        </w:rPr>
        <w:t>) delivered to the Participant, and subject to the terms of this RSU Agreement and the Liftoff Mobile, Inc. 2026 Omnibus Incentive Plan (as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Liftoff Mobile,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Grant of RSUs</w:t>
      </w:r>
      <w:r>
        <w:rPr>
          <w:rFonts w:ascii="Times New Roman;serif" w:hAnsi="Times New Roman;serif"/>
          <w:b w:val="false"/>
          <w:color w:val="000000"/>
          <w:sz w:val="22"/>
        </w:rPr>
        <w:t>. Subject to the terms and conditions set forth herein and in the Plan, the Company hereby grants to the Participant the number of RSUs provided in the RSU Grant Notice (with each RSU representing an unfunded, unsecured right to receive one share of Common Stock upon the vesting of such RSU).</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Vesting</w:t>
      </w:r>
      <w:r>
        <w:rPr>
          <w:rFonts w:ascii="Times New Roman;serif" w:hAnsi="Times New Roman;serif"/>
          <w:b w:val="false"/>
          <w:color w:val="000000"/>
          <w:sz w:val="22"/>
        </w:rPr>
        <w:t>. Subject to the terms and conditions contained herein and in the Plan, the RSUs shall vest and the restrictions on the RSUs shall lapse as set forth in the RSU Grant Notice. With respect to any RSU, the period of time that such RSU remains subject to vesting shall be its “Restricted Period.”</w:t>
      </w:r>
    </w:p>
    <w:p>
      <w:pPr>
        <w:pStyle w:val="TextBody"/>
        <w:bidi w:val="0"/>
        <w:spacing w:lineRule="auto" w:line="288" w:before="0" w:after="240"/>
        <w:jc w:val="both"/>
        <w:rPr/>
      </w:pPr>
      <w:r>
        <w:rPr>
          <w:rFonts w:ascii="Times New Roman;serif" w:hAnsi="Times New Roman;serif"/>
          <w:b w:val="false"/>
          <w:color w:val="000000"/>
          <w:sz w:val="22"/>
          <w:u w:val="single"/>
        </w:rPr>
        <w:t>Settlement of RSUs</w:t>
      </w:r>
      <w:r>
        <w:rPr>
          <w:rFonts w:ascii="Times New Roman;serif" w:hAnsi="Times New Roman;serif"/>
          <w:b w:val="false"/>
          <w:color w:val="000000"/>
          <w:sz w:val="22"/>
        </w:rPr>
        <w:t>. Except to the extent settlement is validly deferred pursuant to Section 9(d)(ii) of the Plan, as soon as administratively practicable, but in no event later than 30 days following the date on which the Restricted Period lapses with respect to an RSU, the Company shall issue to the Participant or the Participant’s beneficiary, without charge, one share of Common Stock for each such outstanding RSU. Notwithstanding Section 9(d)(ii) of the Plan, the RSUs shall be settled solely in shares of Common Stock.</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Reservation of Shares</w:t>
      </w:r>
      <w:r>
        <w:rPr>
          <w:rFonts w:ascii="Times New Roman;serif" w:hAnsi="Times New Roman;serif"/>
          <w:b w:val="false"/>
          <w:color w:val="000000"/>
          <w:sz w:val="22"/>
        </w:rPr>
        <w:t>. The Company shall at all times reserve and keep available for issuance or delivery upon settlement of the RSUs such number of shares of Common Stock as shall be required for issuance or delivery upon settlement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Treatment of RSUs Upon Termination or Restrictive Covenant Violation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Unless otherwise determined by the Committee:</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 the event of the Participant’s Termination due to death or Disability, all then-outstanding RSUs shall vest upon the Participant’s Termination and shall be settled as set forth in Section 3 of the RSU Agreement; and</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in the event of the Participant’s Termination for any reason other than as set forth in Section 5(a)(i), all vesting of RSUs shall cease and all unvested RSUs shall be forfeited to the Company by the Participant for no consideration (and without any further action by the Company) as of the date of such Termination; and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in the event the Participant has engaged or engages in a Director Misconduct Event, any unvested RSUs and vested RSUs that have not been settled in shares of Common Stock pursuant to Section 3 of this RSU Agreement shall be forfeited to the Company by the Participant for no consideration (and without any further action by the Company) as of the date of such Director Misconduct Event. For purposes of this RSU Agreement, “</w:t>
      </w:r>
      <w:r>
        <w:rPr>
          <w:rFonts w:ascii="Times New Roman;serif" w:hAnsi="Times New Roman;serif"/>
          <w:b w:val="false"/>
          <w:color w:val="000000"/>
          <w:sz w:val="22"/>
          <w:u w:val="single"/>
        </w:rPr>
        <w:t>Director Misconduct Event</w:t>
      </w:r>
      <w:r>
        <w:rPr>
          <w:color w:val="000000"/>
        </w:rPr>
        <w:t xml:space="preserve">” </w:t>
      </w:r>
      <w:r>
        <w:rPr>
          <w:rFonts w:ascii="Times New Roman;serif" w:hAnsi="Times New Roman;serif"/>
          <w:b w:val="false"/>
          <w:color w:val="000000"/>
          <w:sz w:val="22"/>
        </w:rPr>
        <w:t xml:space="preserve">means (a) the Participant’s fraud, willful misconduct, or material breach of fiduciary duty, (b) material violation by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 of any written policy of the Company or any other Subsidiary or Affiliate expressly applicable to non-employee directors, including the Company’s Code of Conduct and Insider Trading Policy, and (c) the Participant’s material breach of any restrictive covenants in any agreement between the Participant and the Company, the Participant’s Service Recipient, or any other Subsidiary or Affiliate of the Company, including, without limitation, any covenants relating to confidentiality, non-competition, non-solicitation, non-disparagement, or cooperation, in each case that remains uncured following the expiration of any applicable cure period expressly applicable to such breach under the relevant restrictive covenant, and in each case of the foregoing subclauses (a), (b), and (c), as determined by the Committee.</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Notwithstanding anything to the contrary in the RSU Grant Notice or in this RSU Agreement, unless otherwise determined by the Committee, the provisions addressing accelerated vesting of the RSUs upon a Change in Control pursuant to the RSU Grant Notice or upon the Participant’s Termination due to death or Disability pursuant to Section 5(a)(i) herein shall, in each case, cease to apply, and be of no further force and effect, if the Participant ceases to be an “Eligible Director” (as defined in the Company’s Non-Employee Director Compensation Policy, as in effect from time to time) because such Participant becomes affiliated with BCP Redbird Aggregator L.P. or General Atlantic (LFT), L.P. In addition, unless otherwise determined by the Committee, “Termination” for purposes of the RSU Grant Notice and this RSU Agreement shall mean the termination of the Participant’s service on the Board for any reason (including death or Disability).</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Company; Participant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term “Company” as used in this RSU Agreement with reference to service shall include the Board, the Company, and its Subsidiaries.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Whenever the word “Participant” is used in any provision of this RSU Agreement under circumstances where the provision should logically be construed to apply to the executors, the administrators, or the person or persons to whom the RSUs may be transferred by will or by the laws of descent and distribution, the word “Participant” shall be deemed to include such person or persons.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Non-Transferability</w:t>
      </w:r>
      <w:r>
        <w:rPr>
          <w:rFonts w:ascii="Times New Roman;serif" w:hAnsi="Times New Roman;serif"/>
          <w:b w:val="false"/>
          <w:color w:val="000000"/>
          <w:sz w:val="22"/>
        </w:rPr>
        <w:t xml:space="preserve">. The RSUs are not transferable by the Participant except to Permitted Transferees to the extent permitted by the Committee in accordance with Section 13(b) of the Plan. Except as otherwise provided herein, no assignment or transfer of the RSUs, or of the rights represented thereby, whether voluntary or involuntary, by operation of law, or otherwise, shall vest in the assignee or transferee any interest or right herein whatsoever, but immediately upon such assignment or transfer the RSUs shall terminate and become of no further effect.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The Participant or a Permitted Transferee of the RSUs shall have no rights as a stockholder with respect to any share of Common Stock underlying an RSU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Upon the payment by the Company of regular cash dividends on shares of Common Stock, the RSUs shall be entitled to be credited with dividend equivalent payments, which shall accrue in cash without interest and shall be delivered in cash. Accumulated dividend equivalents shall be payable at such time as the underlying RSUs to which such dividend equivalents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relate are settled in accordance with Section 3 of this RSU Agreement. For the avoidance of doubt, dividend equivalents accrued in respect of RSUs shall only be paid to the extent the underlying RSU vests and is settled. To the extent that any RSUs are forfeited and not vested and settled, the Participant shall have no right to dividend equivalent payments in respect of such forfeited and unvested RSUs. For the avoidance of doubt, any dividend equivalent payments shall be subject to the applicable “Director Limit” provisions in the Company’s Non-Employee Director Compensation Policy, as in effect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Tax Withholding</w:t>
      </w:r>
      <w:r>
        <w:rPr>
          <w:rFonts w:ascii="Times New Roman;serif" w:hAnsi="Times New Roman;serif"/>
          <w:b w:val="false"/>
          <w:color w:val="000000"/>
          <w:sz w:val="22"/>
        </w:rPr>
        <w:t>. The provisions of Section 13(d) of the Plan are incorporated herein by reference and made a part hereof. The Participant acknowledges and agrees that, except as required by Applicable Law, the Company does not intend to withhold any federal, state, local, or foreign income, employment, or other taxes, and the Participant hereby agrees to make adequate provision for any sums required to satisfy all applicable taxes which may arise in connection with the RSUs, including upon vesting or settlement of the RSUs, payment of any dividend equivalents or disposition of any shares of Common Stock.</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Every notice or other communication relating to this RSU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General Counsel or their designee, and all notices or communications by the Company to the Participant may be given to the Participant personally or may be mailed to the Participant at the Participant’s last known address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xml:space="preserve">. This RSU Agreement does not confer upon the Participant any right to continue as a director or other service provider to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RSU Agreement shall be binding upon the heirs, executors, administrators, and successors of the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Waiver and Amendments</w:t>
      </w:r>
      <w:r>
        <w:rPr>
          <w:rFonts w:ascii="Times New Roman;serif" w:hAnsi="Times New Roman;serif"/>
          <w:b w:val="false"/>
          <w:color w:val="000000"/>
          <w:sz w:val="22"/>
        </w:rPr>
        <w:t xml:space="preserve">. Except as otherwise set forth in Section 12 of the Plan, any waiver, alteration, amendment, or modification of any of the terms of this RSU Agreement shall be valid only if made in writing and signed by the parties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such waiver, alteration, amendment, or modification on the Company’s behalf shall be effective only if approved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Clawback/Forfeiture</w:t>
      </w:r>
      <w:r>
        <w:rPr>
          <w:rFonts w:ascii="Times New Roman;serif" w:hAnsi="Times New Roman;serif"/>
          <w:b w:val="false"/>
          <w:color w:val="000000"/>
          <w:sz w:val="22"/>
        </w:rPr>
        <w:t xml:space="preserve">. In the event the Participant has engaged or engages in a Director Misconduct Event, the Participant shall be required, in addition to any other remedy available (on a non-exclusive basis), to return or repay to the Company, within 10 business days after the Company’s request to the Participant therefor, in such form and manner as the Committee may determine, (A) at the Committee’s election, (i) any shares of Common Stock, securities, or other non-cash property delivered in settlement of the RSUs or paid or delivered as dividends, dividend equivalents, or other distributions with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respect to the RSUs or any such shares, securities, or property (collectively, “</w:t>
      </w:r>
      <w:r>
        <w:rPr>
          <w:rFonts w:ascii="Times New Roman;serif" w:hAnsi="Times New Roman;serif"/>
          <w:b w:val="false"/>
          <w:color w:val="000000"/>
          <w:sz w:val="22"/>
          <w:u w:val="single"/>
        </w:rPr>
        <w:t>Non-Cash Award Property</w:t>
      </w:r>
      <w:r>
        <w:rPr>
          <w:color w:val="000000"/>
        </w:rPr>
        <w:t>”</w:t>
      </w:r>
      <w:r>
        <w:rPr>
          <w:rFonts w:ascii="Times New Roman;serif" w:hAnsi="Times New Roman;serif"/>
          <w:b w:val="false"/>
          <w:color w:val="000000"/>
          <w:sz w:val="22"/>
        </w:rPr>
        <w:t>) and then held directly or indirectly by the Participant (including through any entity or trust controlled by the Participant), or (ii) cash equal to the aggregate Fair Market Value, as of the date of the Company’s written request, of any such shares of Common Stock and the aggregate fair market value, as reasonably determined by the Committee as of such date, of any such securities or other property; (B) the aggregate after-tax amount (taking into account all amounts of tax that would be recoverable upon a claim of loss for repayment of such amount in the year of repayment) of (i) any cash delivered in settlement of the RSUs or paid as dividends, dividend equivalents, or other distributions with respect to the RSUs or any Non-Cash Award Property and (ii) any proceeds received directly or indirectly by the Participant (including through any entity or trust controlled by the Participant) upon the sale or other disposition of any Non-Cash Award Property; and (C) with respect to any Non-Cash Award Property transferred by the Participant for less than fair market value (other than any such property then held indirectly by the Participant and subject to clause (A)), an amount equal to the aggregate Fair Market Value of such shares of Common Stock or the aggregate fair market value, as reasonably determined by the Committee, of such securities or other property, in each case as of the date of transfer, less any consideration actually received by the Participant in respect of such transfer and included in clause (B). For purposes of clause (B), any shares of Common Stock, securities, or other property withheld or sold to satisfy applicable taxes or tax withholding obligations shall be treated as having been received by the Participant and disposed of for proceeds equal to the amount applied to satisfy such taxes or obligations, which amount shall be taken into account in determining the after-tax amount recoverable under this Section 15. The Committee may recover any cash amount under this Section 15 by cash payment, offset against compensation, or other amounts payable to the Participant, cancellation or reduction of outstanding Awards, installment payments, or any other method permitted by the Plan and Applicable Law. The Participant shall promptly furnish such records, documentation, and certifications as the Committee may reasonably request to determine the amounts recoverable under this Section 15. This Section 15 shall survive the Participant’s Termination, settlement of the RSUs, and any transfer or disposition of any shares of Common Stock, cash, securities, or other property delivered in settlement of the RSUs.</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Governing Law</w:t>
      </w:r>
      <w:r>
        <w:rPr>
          <w:rFonts w:ascii="Times New Roman;serif" w:hAnsi="Times New Roman;serif"/>
          <w:b w:val="false"/>
          <w:color w:val="000000"/>
          <w:sz w:val="22"/>
        </w:rPr>
        <w:t>. This RSU Agreement shall be construed and interpreted in accordance with the laws of the State of Delaware, without regard to the principles of conflicts of law thereof. Notwithstanding anything contained in this RSU Agreement, the RSU Grant Notice, or the Plan to the contrary, if any suit or claim is instituted by the Participant or the Company relating to this RSU Agreement, the RSU Grant Notice, or the Plan, the Participant hereby submits to the exclusive jurisdiction of and venue in the courts of Delaware.</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xml:space="preserve">. It is intended that the RSUs granted hereunder shall be exempt from Section 409A of the Code pursuant to the “short-term deferral” rule applicable to such section, as set forth in the regulations or other guidance published by the Internal Revenue Service thereunder, and shall be interpreted consistent with such intent.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Delay of Settlement for Legal Compliance</w:t>
      </w:r>
      <w:r>
        <w:rPr>
          <w:rFonts w:ascii="Times New Roman;serif" w:hAnsi="Times New Roman;serif"/>
          <w:b w:val="false"/>
          <w:color w:val="000000"/>
          <w:sz w:val="22"/>
        </w:rPr>
        <w:t xml:space="preserve">. Notwithstanding Section 3 or any other provision of this RSU Agreement, if the Company reasonably anticipates that the issuance or delivery of shares of Common Stock on the date on which settlement would otherwise occur under Section 3 would violate the Securities Act, the Exchange Act, any other Applicable Law, or the rules of any securities exchange or quotation system on which the Common Stock is then listed or quoted, then the Company may delay such issuance or delivery and shall effect such issuance or delivery on the earliest date on which the Company reasonably anticipates that such issuance or delivery would not cause such violation. Any such delay, and this Section 18, shall be administered, construed, and applied in a manner intended to preserve the exemption of the relevant payment from, or its compliance with, Section 409A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Code, including, as applicable, Treasury Regulation Section 1.409A-2(b)(7)(ii) and applicable guidance under the short-term deferral rule, and in no event shall settlement be delayed beyond the latest date permitted for the relevant payment to remain exempt from, or in compliance with, Section 409A of the Code. This Section 18 is intended to supplement, and not to limit, the Company’s rights under Section 13(k) of the Plan. </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Plan</w:t>
      </w:r>
      <w:r>
        <w:rPr>
          <w:rFonts w:ascii="Times New Roman;serif" w:hAnsi="Times New Roman;serif"/>
          <w:b w:val="false"/>
          <w:color w:val="000000"/>
          <w:sz w:val="22"/>
        </w:rPr>
        <w:t>. The terms and provisions of the Plan are incorporated herein by reference. In the event of a conflict or inconsistency between the terms and provisions of the Plan and the provisions of this RSU Agreement, the Plan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the Participant’s participation in the Plan, on the RSUs and on any shares of Common Stock acquired under the Plan, to the extent that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RSU Agreement (including, without limitation, all exhibits and appendices attached hereto), the RSU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br/>
        <w:t xml:space="preserve">PURSUANT TO 17 CFR 240.13a-14 </w:t>
        <w:br/>
        <w:t>PROMULGATED UNDER</w:t>
        <w:b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Jeremy Bondy,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Liftoff Mobile,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jc w:val="left"/>
        <w:rPr/>
      </w:pPr>
      <w:r>
        <w:rPr>
          <w:rFonts w:ascii="Times New Roman;serif" w:hAnsi="Times New Roman;serif"/>
          <w:b w:val="false"/>
          <w:color w:val="000000"/>
          <w:sz w:val="20"/>
          <w:u w:val="single"/>
        </w:rPr>
        <w:t>/s/ Jeremy Bondy</w:t>
      </w:r>
      <w:r>
        <w:rPr>
          <w:rFonts w:ascii="Times New Roman;serif" w:hAnsi="Times New Roman;serif"/>
          <w:b w:val="false"/>
          <w:color w:val="000000"/>
          <w:sz w:val="20"/>
        </w:rPr>
        <w:br/>
        <w:t>Jeremy Bondy</w:t>
        <w:br/>
        <w:t xml:space="preserve">Chief Executive Officer </w:t>
        <w:b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br/>
        <w:t xml:space="preserve">PURSUANT TO 17 CFR 240.13a-14 </w:t>
        <w:br/>
        <w:t>PROMULGATED UNDER</w:t>
        <w:b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Tarek Kutrieh,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Liftoff Mobile,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rFonts w:ascii="Times New Roman;serif" w:hAnsi="Times New Roman;serif"/>
          <w:b w:val="false"/>
          <w:color w:val="000000"/>
          <w:sz w:val="20"/>
          <w:u w:val="single"/>
        </w:rPr>
        <w:t>/s/ Tarek Kutrieh</w:t>
      </w:r>
      <w:r>
        <w:rPr>
          <w:rFonts w:ascii="Times New Roman;serif" w:hAnsi="Times New Roman;serif"/>
          <w:b w:val="false"/>
          <w:color w:val="000000"/>
          <w:sz w:val="20"/>
        </w:rPr>
        <w:br/>
        <w:t>Tarek Kutrieh</w:t>
        <w:br/>
        <w:t xml:space="preserve">President and Chief Financial Officer </w:t>
        <w:b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SECTION 906 OF THE SARBANES-OXLEY ACT OF 2002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connection with the Quarterly Report of Liftoff Mobile,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 ended June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Jeremy Bondy, Chief Executive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/s/ Jeremy Bondy</w:t>
        <w:br/>
      </w:r>
      <w:r>
        <w:rPr>
          <w:rFonts w:ascii="Times New Roman;serif" w:hAnsi="Times New Roman;serif"/>
          <w:b w:val="false"/>
          <w:color w:val="000000"/>
          <w:sz w:val="20"/>
        </w:rPr>
        <w:t>Jeremy Bondy</w:t>
        <w:br/>
        <w:t>Chief Executive Officer</w:t>
        <w:br/>
        <w:t>(Principal Executive Officer)</w:t>
        <w:br/>
        <w:t>August 12,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SECTION 906 OF THE SARBANES-OXLEY ACT OF 2002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connection with the Quarterly Report of Liftoff Mobile,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 ended June 30,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Tarek Kutrieh, President and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/s/ Tarek Kutrieh</w:t>
        <w:br/>
      </w:r>
      <w:r>
        <w:rPr>
          <w:rFonts w:ascii="Times New Roman;serif" w:hAnsi="Times New Roman;serif"/>
          <w:b w:val="false"/>
          <w:color w:val="000000"/>
          <w:sz w:val="20"/>
        </w:rPr>
        <w:t>Tarek Kutrieh</w:t>
        <w:br/>
        <w:t>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br/>
        <w:t>August 12,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ptos">
    <w:altName w:val="sans-serif"/>
    <w:charset w:val="01"/>
    <w:family w:val="auto"/>
    <w:pitch w:val="default"/>
  </w:font>
  <w:font w:name="Proxima Nova">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hyperlink" Target="https://www.sec.gov/Archives/edgar/data/0001850351/000119312526261867/iron-ex3_1.htm" TargetMode="External"/><Relationship Id="rId9" Type="http://schemas.openxmlformats.org/officeDocument/2006/relationships/hyperlink" Target="https://www.sec.gov/Archives/edgar/data/0001850351/000119312526261867/iron-ex3_2.htm" TargetMode="External"/><Relationship Id="rId10" Type="http://schemas.openxmlformats.org/officeDocument/2006/relationships/hyperlink" Target="https://www.sec.gov/Archives/edgar/data/0001850351/000119312526261867/iron-ex3_2.htm" TargetMode="External"/><Relationship Id="rId11" Type="http://schemas.openxmlformats.org/officeDocument/2006/relationships/hyperlink" Target="https://www.sec.gov/Archives/edgar/data/0001850351/000119312526261867/iron-ex10_1.htm" TargetMode="External"/><Relationship Id="rId12" Type="http://schemas.openxmlformats.org/officeDocument/2006/relationships/hyperlink" Target="https://www.sec.gov/Archives/edgar/data/0001850351/000119312526261867/iron-ex10_1.htm" TargetMode="External"/><Relationship Id="rId13" Type="http://schemas.openxmlformats.org/officeDocument/2006/relationships/hyperlink" Target="https://www.sec.gov/Archives/edgar/data/0001850351/000119312526261867/iron-ex10_2.htm" TargetMode="External"/><Relationship Id="rId14" Type="http://schemas.openxmlformats.org/officeDocument/2006/relationships/hyperlink" Target="https://www.sec.gov/Archives/edgar/data/0001850351/000119312526261867/iron-ex10_2.htm" TargetMode="External"/><Relationship Id="rId15" Type="http://schemas.openxmlformats.org/officeDocument/2006/relationships/hyperlink" Target="https://www.sec.gov/Archives/edgar/data/0001850351/000119312526261867/iron-ex10_3.htm" TargetMode="External"/><Relationship Id="rId16" Type="http://schemas.openxmlformats.org/officeDocument/2006/relationships/hyperlink" Target="https://www.sec.gov/Archives/edgar/data/0001850351/000119312526261867/iron-ex10_3.htm" TargetMode="External"/><Relationship Id="rId17" Type="http://schemas.openxmlformats.org/officeDocument/2006/relationships/hyperlink" Target="https://www.sec.gov/Archives/edgar/data/1850351/000119312526255630/iron-ex4_3.htm" TargetMode="External"/><Relationship Id="rId18" Type="http://schemas.openxmlformats.org/officeDocument/2006/relationships/hyperlink" Target="https://www.sec.gov/Archives/edgar/data/1850351/000119312526255630/iron-ex4_3.htm" TargetMode="External"/><Relationship Id="rId19" Type="http://schemas.openxmlformats.org/officeDocument/2006/relationships/hyperlink" Target="https://www.sec.gov/Archives/edgar/data/1850351/000119312526255630/iron-ex4_3.htm" TargetMode="External"/><Relationship Id="rId20" Type="http://schemas.openxmlformats.org/officeDocument/2006/relationships/hyperlink" Target="https://www.sec.gov/Archives/edgar/data/1850351/000119312526255630/iron-ex4_3.htm" TargetMode="External"/><Relationship Id="rId21" Type="http://schemas.openxmlformats.org/officeDocument/2006/relationships/hyperlink" Target="https://www.sec.gov/Archives/edgar/data/1850351/000119312526255630/iron-ex4_4.htm" TargetMode="External"/><Relationship Id="rId22" Type="http://schemas.openxmlformats.org/officeDocument/2006/relationships/hyperlink" Target="https://www.sec.gov/Archives/edgar/data/1850351/000119312526255630/iron-ex4_4.htm" TargetMode="External"/><Relationship Id="rId23" Type="http://schemas.openxmlformats.org/officeDocument/2006/relationships/hyperlink" Target="https://www.sec.gov/Archives/edgar/data/1850351/000119312526014813/iron-ex10_10.htm" TargetMode="External"/><Relationship Id="rId24" Type="http://schemas.openxmlformats.org/officeDocument/2006/relationships/hyperlink" Target="https://www.sec.gov/Archives/edgar/data/1850351/000119312526014813/iron-ex10_10.htm" TargetMode="External"/><Relationship Id="rId25" Type="http://schemas.openxmlformats.org/officeDocument/2006/relationships/image" Target="media/image4.pn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34354</Words>
  <Characters>192849</Characters>
  <CharactersWithSpaces>225336</CharactersWithSpaces>
  <Paragraphs>2726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