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7185739.xml.htm"/>
      <w:bookmarkStart w:id="1" w:name="kswkform4_1787185739"/>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Hansen Susan Rickard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LIFTOFF MOBILE,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900 MIDDLEFIELD ROAD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REDWOOD CITY</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94063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Liftoff Mobile, Inc.</w:t>
              </w:r>
            </w:hyperlink>
            <w:r>
              <w:rPr/>
              <w:t xml:space="preserve"> [ </w:t>
            </w:r>
            <w:r>
              <w:rPr>
                <w:rFonts w:ascii="Times;serif" w:hAnsi="Times;serif"/>
                <w:color w:val="0000FF"/>
                <w:sz w:val="24"/>
                <w:shd w:fill="FFFFFF" w:val="clear"/>
              </w:rPr>
              <w:t>LFTO</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General Counsel</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08/17/2026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2"/>
        <w:gridCol w:w="901"/>
        <w:gridCol w:w="771"/>
        <w:gridCol w:w="599"/>
        <w:gridCol w:w="350"/>
        <w:gridCol w:w="976"/>
        <w:gridCol w:w="459"/>
        <w:gridCol w:w="621"/>
        <w:gridCol w:w="1170"/>
        <w:gridCol w:w="1003"/>
        <w:gridCol w:w="92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5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08/17/2026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25,940</w:t>
            </w:r>
            <w:r>
              <w:rPr>
                <w:rFonts w:ascii="Times;serif" w:hAnsi="Times;serif"/>
                <w:color w:val="008000"/>
                <w:position w:val="7"/>
                <w:sz w:val="16"/>
                <w:sz w:val="20"/>
                <w:shd w:fill="FFFFFF" w:val="clear"/>
              </w:rPr>
              <w:t>(1)</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7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61,128</w:t>
            </w:r>
            <w:r>
              <w:rPr>
                <w:rFonts w:ascii="Times;serif" w:hAnsi="Times;serif"/>
                <w:color w:val="008000"/>
                <w:position w:val="7"/>
                <w:sz w:val="16"/>
                <w:sz w:val="20"/>
                <w:shd w:fill="FFFFFF" w:val="clear"/>
              </w:rPr>
              <w:t>(2)</w:t>
            </w:r>
          </w:p>
        </w:tc>
        <w:tc>
          <w:tcPr>
            <w:tcW w:w="10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25,940 unvested restricted stock units, which will vest in 12 equal installments on each quarterly anniversary of the vesting commencement date of July 1, 2026, subject to the reporting person's continued employment through the applicable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Consists of (a) 35,188 shares of the common stock and (b) 25,940 unvested restricted stock units.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Katy Murray,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108690" TargetMode="External"/><Relationship Id="rId5" Type="http://schemas.openxmlformats.org/officeDocument/2006/relationships/hyperlink" Target="http://www.sec.gov/cgi-bin/browse-edgar?action=getcompany&amp;CIK=000185035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623</Words>
  <Characters>3412</Characters>
  <CharactersWithSpaces>3965</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