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120" w:after="283"/>
        <w:jc w:val="center"/>
        <w:rPr>
          <w:rFonts w:ascii="Arial;sans-serif" w:hAnsi="Arial;sans-serif"/>
          <w:b/>
          <w:color w:val="000000"/>
          <w:sz w:val="22"/>
        </w:rPr>
      </w:pPr>
      <w:r>
        <w:rPr>
          <w:rFonts w:ascii="Arial;sans-serif" w:hAnsi="Arial;sans-serif"/>
          <w:b/>
          <w:color w:val="000000"/>
          <w:sz w:val="22"/>
        </w:rPr>
        <w:t>Date of Report (Date of earliest event reported): August 12, 2026</w:t>
      </w:r>
    </w:p>
    <w:p>
      <w:pPr>
        <w:pStyle w:val="TextBody"/>
        <w:bidi w:val="0"/>
        <w:spacing w:before="120" w:after="283"/>
        <w:ind w:left="0" w:right="0" w:firstLine="1"/>
        <w:jc w:val="center"/>
        <w:rPr/>
      </w:pPr>
      <w:r>
        <w:rPr/>
        <w:drawing>
          <wp:inline distT="0" distB="0" distL="0" distR="0">
            <wp:extent cx="3476625" cy="19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76625" cy="19050"/>
                    </a:xfrm>
                    <a:prstGeom prst="rect">
                      <a:avLst/>
                    </a:prstGeom>
                  </pic:spPr>
                </pic:pic>
              </a:graphicData>
            </a:graphic>
          </wp:inline>
        </w:drawing>
      </w:r>
      <w:bookmarkStart w:id="0" w:name="i-1"/>
      <w:bookmarkEnd w:id="0"/>
    </w:p>
    <w:p>
      <w:pPr>
        <w:pStyle w:val="TextBody"/>
        <w:bidi w:val="0"/>
        <w:spacing w:lineRule="auto" w:line="268" w:before="0" w:after="0"/>
        <w:ind w:left="0" w:right="0" w:firstLine="1"/>
        <w:jc w:val="center"/>
        <w:rPr/>
      </w:pPr>
      <w:r>
        <w:rPr/>
        <w:drawing>
          <wp:inline distT="0" distB="0" distL="0" distR="0">
            <wp:extent cx="2667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6700" cy="495300"/>
                    </a:xfrm>
                    <a:prstGeom prst="rect">
                      <a:avLst/>
                    </a:prstGeom>
                  </pic:spPr>
                </pic:pic>
              </a:graphicData>
            </a:graphic>
          </wp:inline>
        </w:drawing>
      </w:r>
      <w:bookmarkStart w:id="1" w:name="i-2"/>
      <w:bookmarkEnd w:id="1"/>
      <w:r>
        <w:rPr>
          <w:color w:val="000000"/>
        </w:rPr>
        <w:t xml:space="preserve"> </w:t>
      </w:r>
    </w:p>
    <w:p>
      <w:pPr>
        <w:pStyle w:val="TextBody"/>
        <w:bidi w:val="0"/>
        <w:spacing w:lineRule="auto" w:line="268" w:before="0" w:after="0"/>
        <w:ind w:left="0" w:right="0" w:firstLine="1"/>
        <w:jc w:val="center"/>
        <w:rPr>
          <w:rFonts w:ascii="Arial;sans-serif" w:hAnsi="Arial;sans-serif"/>
          <w:b/>
          <w:color w:val="000000"/>
          <w:sz w:val="40"/>
        </w:rPr>
      </w:pPr>
      <w:r>
        <w:rPr>
          <w:rFonts w:ascii="Arial;sans-serif" w:hAnsi="Arial;sans-serif"/>
          <w:b/>
          <w:color w:val="000000"/>
          <w:sz w:val="40"/>
        </w:rPr>
        <w:t>Liftoff Mobile,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before="0" w:after="40"/>
        <w:ind w:left="0" w:right="0" w:firstLine="1"/>
        <w:jc w:val="center"/>
        <w:rPr/>
      </w:pPr>
      <w:r>
        <w:rPr/>
        <w:drawing>
          <wp:inline distT="0" distB="0" distL="0" distR="0">
            <wp:extent cx="3476625" cy="19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76625" cy="19050"/>
                    </a:xfrm>
                    <a:prstGeom prst="rect">
                      <a:avLst/>
                    </a:prstGeom>
                  </pic:spPr>
                </pic:pic>
              </a:graphicData>
            </a:graphic>
          </wp:inline>
        </w:drawing>
      </w:r>
      <w:bookmarkStart w:id="2" w:name="i-3"/>
      <w:bookmarkEnd w:id="2"/>
    </w:p>
    <w:tbl>
      <w:tblPr>
        <w:tblW w:w="4950" w:type="dxa"/>
        <w:jc w:val="left"/>
        <w:tblInd w:w="0" w:type="dxa"/>
        <w:tblLayout w:type="fixed"/>
        <w:tblCellMar>
          <w:top w:w="28" w:type="dxa"/>
          <w:left w:w="28" w:type="dxa"/>
          <w:bottom w:w="28" w:type="dxa"/>
          <w:right w:w="28" w:type="dxa"/>
        </w:tblCellMar>
      </w:tblPr>
      <w:tblGrid>
        <w:gridCol w:w="797"/>
        <w:gridCol w:w="699"/>
        <w:gridCol w:w="709"/>
        <w:gridCol w:w="389"/>
        <w:gridCol w:w="389"/>
        <w:gridCol w:w="393"/>
        <w:gridCol w:w="460"/>
        <w:gridCol w:w="460"/>
        <w:gridCol w:w="654"/>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001-43327</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86-1817506</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(State or other jurisdiction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of incorporation)</w:t>
            </w:r>
          </w:p>
        </w:tc>
        <w:tc>
          <w:tcPr>
            <w:tcW w:w="11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File Number)</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88" w:before="0" w:after="20"/>
              <w:jc w:val="center"/>
              <w:rPr>
                <w:rFonts w:ascii="Arial;sans-serif" w:hAnsi="Arial;sans-serif"/>
                <w:b/>
                <w:color w:val="000000"/>
                <w:sz w:val="16"/>
              </w:rPr>
            </w:pPr>
            <w:r>
              <w:rPr>
                <w:rFonts w:ascii="Arial;sans-serif" w:hAnsi="Arial;sans-serif"/>
                <w:b/>
                <w:color w:val="000000"/>
                <w:sz w:val="16"/>
              </w:rPr>
              <w:t>Identification No.)</w:t>
            </w:r>
          </w:p>
        </w:tc>
      </w:tr>
    </w:tbl>
    <w:p>
      <w:pPr>
        <w:pStyle w:val="TextBody"/>
        <w:bidi w:val="0"/>
        <w:spacing w:lineRule="auto" w:line="276" w:before="120" w:after="283"/>
        <w:jc w:val="center"/>
        <w:rPr>
          <w:rFonts w:ascii="Arial;sans-serif" w:hAnsi="Arial;sans-serif"/>
          <w:b/>
          <w:color w:val="000000"/>
          <w:sz w:val="18"/>
        </w:rPr>
      </w:pPr>
      <w:r>
        <w:rPr>
          <w:rFonts w:ascii="Arial;sans-serif" w:hAnsi="Arial;sans-serif"/>
          <w:b/>
          <w:color w:val="000000"/>
          <w:sz w:val="18"/>
        </w:rPr>
        <w:t xml:space="preserve">900 Middlefield Road, </w:t>
      </w:r>
    </w:p>
    <w:p>
      <w:pPr>
        <w:pStyle w:val="TextBody"/>
        <w:bidi w:val="0"/>
        <w:spacing w:lineRule="auto" w:line="276" w:before="0" w:after="0"/>
        <w:jc w:val="center"/>
        <w:rPr/>
      </w:pPr>
      <w:r>
        <w:rPr>
          <w:rFonts w:ascii="Arial;sans-serif" w:hAnsi="Arial;sans-serif"/>
          <w:b/>
          <w:color w:val="000000"/>
          <w:sz w:val="18"/>
        </w:rPr>
        <w:t>Redwood City, California</w:t>
      </w:r>
      <w:r>
        <w:rPr>
          <w:color w:val="000000"/>
        </w:rPr>
        <w:t xml:space="preserve"> </w:t>
      </w:r>
      <w:r>
        <w:rPr>
          <w:rFonts w:ascii="Arial;sans-serif" w:hAnsi="Arial;sans-serif"/>
          <w:b/>
          <w:color w:val="000000"/>
          <w:sz w:val="18"/>
        </w:rPr>
        <w:t>94063</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120" w:after="283"/>
        <w:jc w:val="center"/>
        <w:rPr/>
      </w:pPr>
      <w:r>
        <w:rPr>
          <w:rFonts w:ascii="Arial;sans-serif" w:hAnsi="Arial;sans-serif"/>
          <w:b/>
          <w:color w:val="000000"/>
          <w:sz w:val="20"/>
        </w:rPr>
        <w:t xml:space="preserve">Registrant’s telephone number, including area code: </w:t>
      </w:r>
      <w:r>
        <w:rPr>
          <w:rFonts w:ascii="Arial;sans-serif" w:hAnsi="Arial;sans-serif"/>
          <w:b/>
          <w:color w:val="000000"/>
          <w:sz w:val="18"/>
        </w:rPr>
        <w:t>(650)</w:t>
      </w:r>
      <w:r>
        <w:rPr>
          <w:color w:val="000000"/>
        </w:rPr>
        <w:t xml:space="preserve"> </w:t>
      </w:r>
      <w:r>
        <w:rPr>
          <w:rFonts w:ascii="Arial;sans-serif" w:hAnsi="Arial;sans-serif"/>
          <w:b/>
          <w:color w:val="000000"/>
          <w:sz w:val="18"/>
        </w:rPr>
        <w:t>319-7151</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691" w:type="dxa"/>
        <w:jc w:val="left"/>
        <w:tblInd w:w="0" w:type="dxa"/>
        <w:tblLayout w:type="fixed"/>
        <w:tblCellMar>
          <w:top w:w="28" w:type="dxa"/>
          <w:left w:w="28" w:type="dxa"/>
          <w:bottom w:w="28" w:type="dxa"/>
          <w:right w:w="28" w:type="dxa"/>
        </w:tblCellMar>
      </w:tblPr>
      <w:tblGrid>
        <w:gridCol w:w="124"/>
        <w:gridCol w:w="109"/>
        <w:gridCol w:w="109"/>
        <w:gridCol w:w="2151"/>
        <w:gridCol w:w="2151"/>
        <w:gridCol w:w="3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bl>
    <w:tbl>
      <w:tblPr>
        <w:tblW w:w="7752" w:type="dxa"/>
        <w:jc w:val="left"/>
        <w:tblInd w:w="0" w:type="dxa"/>
        <w:tblLayout w:type="fixed"/>
        <w:tblCellMar>
          <w:top w:w="28" w:type="dxa"/>
          <w:left w:w="28" w:type="dxa"/>
          <w:bottom w:w="28" w:type="dxa"/>
          <w:right w:w="28" w:type="dxa"/>
        </w:tblCellMar>
      </w:tblPr>
      <w:tblGrid>
        <w:gridCol w:w="124"/>
        <w:gridCol w:w="109"/>
        <w:gridCol w:w="109"/>
        <w:gridCol w:w="2164"/>
        <w:gridCol w:w="2164"/>
        <w:gridCol w:w="3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699"/>
        <w:gridCol w:w="2699"/>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bl>
    <w:tbl>
      <w:tblPr>
        <w:tblW w:w="9536" w:type="dxa"/>
        <w:jc w:val="left"/>
        <w:tblInd w:w="0" w:type="dxa"/>
        <w:tblLayout w:type="fixed"/>
        <w:tblCellMar>
          <w:top w:w="28" w:type="dxa"/>
          <w:left w:w="28" w:type="dxa"/>
          <w:bottom w:w="28" w:type="dxa"/>
          <w:right w:w="28" w:type="dxa"/>
        </w:tblCellMar>
      </w:tblPr>
      <w:tblGrid>
        <w:gridCol w:w="124"/>
        <w:gridCol w:w="109"/>
        <w:gridCol w:w="109"/>
        <w:gridCol w:w="2690"/>
        <w:gridCol w:w="2690"/>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8106" w:type="dxa"/>
        <w:jc w:val="left"/>
        <w:tblInd w:w="0" w:type="dxa"/>
        <w:tblLayout w:type="fixed"/>
        <w:tblCellMar>
          <w:top w:w="28" w:type="dxa"/>
          <w:left w:w="28" w:type="dxa"/>
          <w:bottom w:w="28" w:type="dxa"/>
          <w:right w:w="28" w:type="dxa"/>
        </w:tblCellMar>
      </w:tblPr>
      <w:tblGrid>
        <w:gridCol w:w="1351"/>
        <w:gridCol w:w="1185"/>
        <w:gridCol w:w="1198"/>
        <w:gridCol w:w="109"/>
        <w:gridCol w:w="109"/>
        <w:gridCol w:w="109"/>
        <w:gridCol w:w="250"/>
        <w:gridCol w:w="250"/>
        <w:gridCol w:w="251"/>
        <w:gridCol w:w="109"/>
        <w:gridCol w:w="109"/>
        <w:gridCol w:w="109"/>
        <w:gridCol w:w="109"/>
        <w:gridCol w:w="109"/>
        <w:gridCol w:w="109"/>
        <w:gridCol w:w="772"/>
        <w:gridCol w:w="772"/>
        <w:gridCol w:w="1096"/>
      </w:tblGrid>
      <w:tr>
        <w:trPr/>
        <w:tc>
          <w:tcPr>
            <w:tcW w:w="135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Trading</w:t>
            </w:r>
          </w:p>
          <w:p>
            <w:pPr>
              <w:pStyle w:val="TableContents"/>
              <w:bidi w:val="0"/>
              <w:spacing w:lineRule="auto" w:line="288" w:before="0" w:after="20"/>
              <w:jc w:val="center"/>
              <w:rPr>
                <w:rFonts w:ascii="Arial;sans-serif" w:hAnsi="Arial;sans-serif"/>
                <w:b/>
                <w:color w:val="000000"/>
                <w:sz w:val="18"/>
              </w:rPr>
            </w:pPr>
            <w:r>
              <w:rPr>
                <w:rFonts w:ascii="Arial;sans-serif" w:hAnsi="Arial;sans-serif"/>
                <w:b/>
                <w:color w:val="000000"/>
                <w:sz w:val="18"/>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Name of each exchange</w:t>
            </w:r>
          </w:p>
          <w:p>
            <w:pPr>
              <w:pStyle w:val="TableContents"/>
              <w:bidi w:val="0"/>
              <w:spacing w:lineRule="auto" w:line="288" w:before="0" w:after="20"/>
              <w:jc w:val="center"/>
              <w:rPr>
                <w:rFonts w:ascii="Arial;sans-serif" w:hAnsi="Arial;sans-serif"/>
                <w:b/>
                <w:color w:val="000000"/>
                <w:sz w:val="18"/>
              </w:rPr>
            </w:pPr>
            <w:r>
              <w:rPr>
                <w:rFonts w:ascii="Arial;sans-serif" w:hAnsi="Arial;sans-serif"/>
                <w:b/>
                <w:color w:val="000000"/>
                <w:sz w:val="18"/>
              </w:rPr>
              <w:t>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LFTO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August 12, 2026, Liftoff Mobile, Inc. (the “Company”) issued a press release announcing its financial results for the quarter ended June 30, 2026. A copy of the press release is attached as Exhibit 99.1 to this Current Report on Form 8-K and is incorporated by reference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this Item 2.02 of this Current Report on Form 8-K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8501"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2054"/>
        <w:gridCol w:w="2054"/>
        <w:gridCol w:w="291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Exhibit Description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y26q2earningsrelease.htm">
              <w:r>
                <w:rPr>
                  <w:rStyle w:val="InternetLink"/>
                  <w:rFonts w:ascii="Arial;sans-serif" w:hAnsi="Arial;sans-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y26q2earningsrelease.htm">
              <w:r>
                <w:rPr>
                  <w:rStyle w:val="InternetLink"/>
                  <w:rFonts w:ascii="Arial;sans-serif" w:hAnsi="Arial;sans-serif"/>
                  <w:b w:val="false"/>
                  <w:color w:val="000080"/>
                  <w:sz w:val="20"/>
                </w:rPr>
                <w:t>Press Release, dated</w:t>
              </w:r>
            </w:hyperlink>
            <w:r>
              <w:rPr>
                <w:rFonts w:ascii="Arial;sans-serif" w:hAnsi="Arial;sans-serif"/>
                <w:b w:val="false"/>
                <w:color w:val="000000"/>
                <w:sz w:val="20"/>
              </w:rPr>
              <w:t xml:space="preserve"> August 12, 2026</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before="0" w:after="0"/>
        <w:jc w:val="center"/>
        <w:rPr/>
      </w:pPr>
      <w:r>
        <w:rPr/>
      </w:r>
    </w:p>
    <w:p>
      <w:pPr>
        <w:pStyle w:val="TextBody"/>
        <w:bidi w:val="0"/>
        <w:spacing w:lineRule="auto" w:line="268" w:before="0" w:after="0"/>
        <w:ind w:left="0" w:right="0" w:firstLine="907"/>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907"/>
        <w:jc w:val="left"/>
        <w:rPr/>
      </w:pPr>
      <w:r>
        <w:rPr/>
      </w:r>
    </w:p>
    <w:p>
      <w:pPr>
        <w:pStyle w:val="TextBody"/>
        <w:bidi w:val="0"/>
        <w:spacing w:before="0" w:after="0"/>
        <w:jc w:val="left"/>
        <w:rPr/>
      </w:pPr>
      <w:r>
        <w:rPr/>
      </w:r>
    </w:p>
    <w:p>
      <w:pPr>
        <w:pStyle w:val="TextBody"/>
        <w:bidi w:val="0"/>
        <w:spacing w:before="0" w:after="0"/>
        <w:jc w:val="left"/>
        <w:rPr/>
      </w:pPr>
      <w:r>
        <w:rPr/>
      </w:r>
    </w:p>
    <w:tbl>
      <w:tblPr>
        <w:tblW w:w="5741" w:type="dxa"/>
        <w:jc w:val="left"/>
        <w:tblInd w:w="0" w:type="dxa"/>
        <w:tblLayout w:type="fixed"/>
        <w:tblCellMar>
          <w:top w:w="28" w:type="dxa"/>
          <w:left w:w="28" w:type="dxa"/>
          <w:bottom w:w="28" w:type="dxa"/>
          <w:right w:w="28" w:type="dxa"/>
        </w:tblCellMar>
      </w:tblPr>
      <w:tblGrid>
        <w:gridCol w:w="749"/>
        <w:gridCol w:w="657"/>
        <w:gridCol w:w="664"/>
        <w:gridCol w:w="109"/>
        <w:gridCol w:w="109"/>
        <w:gridCol w:w="109"/>
        <w:gridCol w:w="976"/>
        <w:gridCol w:w="976"/>
        <w:gridCol w:w="1392"/>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LIFTOFF MOBILE,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Tarek Kutrieh</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181100" cy="4191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181100" cy="41910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Announces Second Quarter 2026 Financial Results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REDWOOD CITY, CA – August 12, 2026 – Liftoff Mobile, Inc. (“Liftoff”) (NASDAQ: LFTO), a global leader in performance marketing and monetization solutions for the app economy, today announced financial results for the quarter ended June 30,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Second Quarter 2026 Financial Highlights:</w:t>
      </w:r>
    </w:p>
    <w:tbl>
      <w:tblPr>
        <w:tblW w:w="9681" w:type="dxa"/>
        <w:jc w:val="left"/>
        <w:tblInd w:w="0" w:type="dxa"/>
        <w:tblLayout w:type="fixed"/>
        <w:tblCellMar>
          <w:top w:w="28" w:type="dxa"/>
          <w:left w:w="28" w:type="dxa"/>
          <w:bottom w:w="28" w:type="dxa"/>
          <w:right w:w="28" w:type="dxa"/>
        </w:tblCellMar>
      </w:tblPr>
      <w:tblGrid>
        <w:gridCol w:w="1071"/>
        <w:gridCol w:w="939"/>
        <w:gridCol w:w="944"/>
        <w:gridCol w:w="211"/>
        <w:gridCol w:w="481"/>
        <w:gridCol w:w="286"/>
        <w:gridCol w:w="109"/>
        <w:gridCol w:w="109"/>
        <w:gridCol w:w="109"/>
        <w:gridCol w:w="211"/>
        <w:gridCol w:w="481"/>
        <w:gridCol w:w="286"/>
        <w:gridCol w:w="109"/>
        <w:gridCol w:w="109"/>
        <w:gridCol w:w="109"/>
        <w:gridCol w:w="211"/>
        <w:gridCol w:w="481"/>
        <w:gridCol w:w="286"/>
        <w:gridCol w:w="109"/>
        <w:gridCol w:w="109"/>
        <w:gridCol w:w="109"/>
        <w:gridCol w:w="224"/>
        <w:gridCol w:w="224"/>
        <w:gridCol w:w="781"/>
        <w:gridCol w:w="109"/>
        <w:gridCol w:w="109"/>
        <w:gridCol w:w="109"/>
        <w:gridCol w:w="218"/>
        <w:gridCol w:w="218"/>
        <w:gridCol w:w="820"/>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 except percentages)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Q2 FY26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Q1 FY26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Q2 FY25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Q/Q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Y/Y 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pts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Adjusted EBITDA Margin</w:t>
            </w:r>
            <w:r>
              <w:rPr>
                <w:rFonts w:ascii="Arial;sans-serif" w:hAnsi="Arial;sans-serif"/>
                <w:b w:val="false"/>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pts</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Note: Variances that are not meaningful (“NM”) are not presented in the table above. Percentages have been calculated using actual, non-rounded figures and, therefore, may not recalculate precisely.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Q2 marked our eleventh consecutive quarter of revenue growth and reinforced a pattern we have seen over time: better advertising performance gives customers reason to increase their spend with us. Cortex’s continued self-learning and discrete model improvements both contributed to that performance this quarter,” said Jeremy Bondy, Liftoff’s Chief Executive Officer. “Our integrated advertising platform, powered by Cortex machine learning, is designed to serve all verticals in the app economy, and we believe we're still in the early innings of our growth story in a large, expanding, and structurally under-monetized market.”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Our strong financial results reflect the durability of our financial model,” added Tarek Kutrieh, Liftoff’s President and Chief Financial Officer. “Adjusted EBITDA margin expanded meaningfully, as our revenue scaled faster than our cost base. That operating leverage, combined with our capital light architecture, converted growth into significant free cash flow. We see a clear opportunity for continued sustainable, profitable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Business Highlights: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Core Advertising Revenue</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was $219 million in the second quarter, an increase of 36% year-over-year and 7% quarter-over-quarter.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Core Advertising Daily Average Revenue (DAR)</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increased by 6% quarter-over-quarter.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 Loss of $(4) million in the second quarter is inclusive of $45 million of non-cash expenses related to our IPO and other capital markets activities.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Trailing 12-month Net Cash from Operating Activities was $237 million, an increase of 90% from the corresponding period of the prior year.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Trailing 12-month Free Cash Flow</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$184 million, an increase of 142% from the corresponding period of the prior year.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3390"/>
                <wp:effectExtent l="0" t="0" r="0" b="0"/>
                <wp:wrapNone/>
                <wp:docPr id="8" name="Frame4"/>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1 </w:t>
                            </w:r>
                            <w:r>
                              <w:rPr/>
                              <w:drawing>
                                <wp:inline distT="0" distB="0" distL="0" distR="0">
                                  <wp:extent cx="200025" cy="3619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1 </w:t>
                      </w:r>
                      <w:r>
                        <w:rPr/>
                        <w:drawing>
                          <wp:inline distT="0" distB="0" distL="0" distR="0">
                            <wp:extent cx="200025" cy="36195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7"/>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Third Quarter 2026 Financial Guidance Summary</w:t>
      </w:r>
      <w:r>
        <w:rPr>
          <w:rFonts w:ascii="Arial;sans-serif" w:hAnsi="Arial;sans-serif"/>
          <w:b w:val="false"/>
          <w:color w:val="000000"/>
          <w:sz w:val="13"/>
        </w:rPr>
        <w:t>3</w:t>
      </w:r>
    </w:p>
    <w:tbl>
      <w:tblPr>
        <w:tblW w:w="4689" w:type="dxa"/>
        <w:jc w:val="left"/>
        <w:tblInd w:w="0" w:type="dxa"/>
        <w:tblLayout w:type="fixed"/>
        <w:tblCellMar>
          <w:top w:w="28" w:type="dxa"/>
          <w:left w:w="28" w:type="dxa"/>
          <w:bottom w:w="28" w:type="dxa"/>
          <w:right w:w="28" w:type="dxa"/>
        </w:tblCellMar>
      </w:tblPr>
      <w:tblGrid>
        <w:gridCol w:w="1071"/>
        <w:gridCol w:w="939"/>
        <w:gridCol w:w="944"/>
        <w:gridCol w:w="242"/>
        <w:gridCol w:w="134"/>
        <w:gridCol w:w="305"/>
        <w:gridCol w:w="109"/>
        <w:gridCol w:w="109"/>
        <w:gridCol w:w="109"/>
        <w:gridCol w:w="243"/>
        <w:gridCol w:w="133"/>
        <w:gridCol w:w="351"/>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 except percentages)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Low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High</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Fiscal Year 2026 Financial Guidance Summary</w:t>
      </w:r>
      <w:r>
        <w:rPr>
          <w:rFonts w:ascii="Arial;sans-serif" w:hAnsi="Arial;sans-serif"/>
          <w:b w:val="false"/>
          <w:color w:val="000000"/>
          <w:sz w:val="14"/>
        </w:rPr>
        <w:t>3</w:t>
      </w:r>
    </w:p>
    <w:tbl>
      <w:tblPr>
        <w:tblW w:w="4985" w:type="dxa"/>
        <w:jc w:val="left"/>
        <w:tblInd w:w="0" w:type="dxa"/>
        <w:tblLayout w:type="fixed"/>
        <w:tblCellMar>
          <w:top w:w="28" w:type="dxa"/>
          <w:left w:w="28" w:type="dxa"/>
          <w:bottom w:w="28" w:type="dxa"/>
          <w:right w:w="28" w:type="dxa"/>
        </w:tblCellMar>
      </w:tblPr>
      <w:tblGrid>
        <w:gridCol w:w="1071"/>
        <w:gridCol w:w="939"/>
        <w:gridCol w:w="944"/>
        <w:gridCol w:w="242"/>
        <w:gridCol w:w="134"/>
        <w:gridCol w:w="305"/>
        <w:gridCol w:w="109"/>
        <w:gridCol w:w="109"/>
        <w:gridCol w:w="109"/>
        <w:gridCol w:w="211"/>
        <w:gridCol w:w="481"/>
        <w:gridCol w:w="331"/>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millions, except percentages)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High</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w:t>
      </w:r>
    </w:p>
    <w:p>
      <w:pPr>
        <w:pStyle w:val="TextBody"/>
        <w:bidi w:val="0"/>
        <w:spacing w:lineRule="auto" w:line="26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6"/>
        </w:rPr>
        <w:t>For a discussion on how we define, use, and calculate these non-GAAP financial measures and a reconciliation thereof to the most directly comparable GAAP financial measures, see “Key Operating and Financial Metrics” and the tables at the end of this press release.</w:t>
      </w:r>
    </w:p>
    <w:p>
      <w:pPr>
        <w:pStyle w:val="TextBody"/>
        <w:bidi w:val="0"/>
        <w:spacing w:lineRule="auto" w:line="268" w:before="0" w:after="0"/>
        <w:jc w:val="left"/>
        <w:rPr/>
      </w:pPr>
      <w:r>
        <w:rPr>
          <w:rFonts w:ascii="Arial;sans-serif" w:hAnsi="Arial;sans-serif"/>
          <w:b w:val="false"/>
          <w:color w:val="000000"/>
          <w:sz w:val="12"/>
        </w:rPr>
        <w:t>2</w:t>
      </w:r>
      <w:r>
        <w:rPr>
          <w:color w:val="000000"/>
        </w:rPr>
        <w:t xml:space="preserve"> </w:t>
      </w:r>
      <w:r>
        <w:rPr>
          <w:rFonts w:ascii="Arial;sans-serif" w:hAnsi="Arial;sans-serif"/>
          <w:b w:val="false"/>
          <w:color w:val="000000"/>
          <w:sz w:val="16"/>
        </w:rPr>
        <w:t xml:space="preserve">See “Key Operating and Financial Metrics” for additional information on how we define Core Advertising Revenue and Core Advertising DAR. </w:t>
      </w:r>
    </w:p>
    <w:p>
      <w:pPr>
        <w:pStyle w:val="TextBody"/>
        <w:bidi w:val="0"/>
        <w:spacing w:lineRule="auto" w:line="268" w:before="0" w:after="0"/>
        <w:jc w:val="left"/>
        <w:rPr/>
      </w:pPr>
      <w:r>
        <w:rPr>
          <w:rFonts w:ascii="Arial;sans-serif" w:hAnsi="Arial;sans-serif"/>
          <w:b w:val="false"/>
          <w:color w:val="000000"/>
          <w:sz w:val="12"/>
        </w:rPr>
        <w:t>3</w:t>
      </w:r>
      <w:r>
        <w:rPr>
          <w:color w:val="000000"/>
        </w:rPr>
        <w:t xml:space="preserve"> </w:t>
      </w:r>
      <w:r>
        <w:rPr>
          <w:rFonts w:ascii="Arial;sans-serif" w:hAnsi="Arial;sans-serif"/>
          <w:b w:val="false"/>
          <w:color w:val="000000"/>
          <w:sz w:val="16"/>
        </w:rPr>
        <w:t>We have not provided the most comparable GAAP metric or a GAAP reconciliation for certain forward-looking non-GAAP metrics—specifically Adjusted EBITDA and Adjusted EBITDA margin—as a result of the uncertainty regarding, and the potential variability of, reconciling items such as stock-based compensation expense. Accordingly, a reconciliation of these non-GAAP guidance metrics to their corresponding GAAP equivalents is not available without unreasonable effort. However, it is important to note that material changes to reconciling items could have a significant effect on future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120"/>
        <w:jc w:val="both"/>
        <w:rPr>
          <w:rFonts w:ascii="Arial;sans-serif" w:hAnsi="Arial;sans-serif"/>
          <w:b/>
          <w:color w:val="000000"/>
          <w:sz w:val="22"/>
        </w:rPr>
      </w:pPr>
      <w:r>
        <w:rPr>
          <w:rFonts w:ascii="Arial;sans-serif" w:hAnsi="Arial;sans-serif"/>
          <w:b/>
          <w:color w:val="000000"/>
          <w:sz w:val="22"/>
        </w:rPr>
        <w:t>Conference Call Information</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 will host a conference call today at 2:00 PM PT / 5:00 PM ET during which management will discuss the Company’s quarterly results and provide commentary on business performance. The call will be hosted by Jeremy Bondy, Chief Executive Officer, and Tarek Kutrieh, President and Chief Financial Officer.</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Arial;sans-serif" w:hAnsi="Arial;sans-serif"/>
          <w:b w:val="false"/>
          <w:color w:val="000000"/>
          <w:sz w:val="20"/>
        </w:rPr>
        <w:t>The conference call may be accessed on the Company’s website at:</w:t>
      </w:r>
      <w:r>
        <w:rPr>
          <w:color w:val="000000"/>
        </w:rPr>
        <w:t xml:space="preserve"> </w:t>
      </w:r>
      <w:r>
        <w:rPr>
          <w:rFonts w:ascii="Arial;sans-serif" w:hAnsi="Arial;sans-serif"/>
          <w:b w:val="false"/>
          <w:i/>
          <w:color w:val="000000"/>
          <w:sz w:val="20"/>
          <w:u w:val="single"/>
        </w:rPr>
        <w:t>https://investors.liftoff.ai</w:t>
      </w:r>
      <w:r>
        <w:rPr>
          <w:rFonts w:ascii="Arial;sans-serif" w:hAnsi="Arial;sans-serif"/>
          <w:b w:val="false"/>
          <w:color w:val="000000"/>
          <w:sz w:val="20"/>
        </w:rPr>
        <w:t>. A replay will also be available under the ‘</w:t>
      </w:r>
      <w:r>
        <w:rPr>
          <w:rFonts w:ascii="Arial;sans-serif" w:hAnsi="Arial;sans-serif"/>
          <w:b w:val="false"/>
          <w:i/>
          <w:color w:val="000000"/>
          <w:sz w:val="20"/>
        </w:rPr>
        <w:t>News &amp; Events</w:t>
      </w:r>
      <w:r>
        <w:rPr>
          <w:color w:val="000000"/>
        </w:rPr>
        <w:t xml:space="preserve">’ </w:t>
      </w:r>
      <w:r>
        <w:rPr>
          <w:rFonts w:ascii="Arial;sans-serif" w:hAnsi="Arial;sans-serif"/>
          <w:b w:val="false"/>
          <w:color w:val="000000"/>
          <w:sz w:val="20"/>
        </w:rPr>
        <w:t>section of the Company’s Investor Relations website.</w:t>
      </w:r>
    </w:p>
    <w:p>
      <w:pPr>
        <w:pStyle w:val="TextBody"/>
        <w:bidi w:val="0"/>
        <w:spacing w:before="0" w:after="0"/>
        <w:jc w:val="both"/>
        <w:rPr/>
      </w:pPr>
      <w:r>
        <w:rPr/>
      </w:r>
    </w:p>
    <w:p>
      <w:pPr>
        <w:pStyle w:val="TextBody"/>
        <w:bidi w:val="0"/>
        <w:spacing w:lineRule="auto" w:line="288" w:before="0" w:after="120"/>
        <w:jc w:val="both"/>
        <w:rPr>
          <w:rFonts w:ascii="Arial;sans-serif" w:hAnsi="Arial;sans-serif"/>
          <w:b/>
          <w:color w:val="000000"/>
          <w:sz w:val="22"/>
          <w:u w:val="single"/>
        </w:rPr>
      </w:pPr>
      <w:r>
        <w:rPr>
          <w:rFonts w:ascii="Arial;sans-serif" w:hAnsi="Arial;sans-serif"/>
          <w:b/>
          <w:color w:val="000000"/>
          <w:sz w:val="22"/>
          <w:u w:val="single"/>
        </w:rPr>
        <w:t xml:space="preserve">About Liftoff </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Liftoff (NASDAQ: LFTO) is a leading growth and monetization engine built for the mobile app economy. Its AI-powered platform, Cortex™, unifies marketing, creative, and monetization to deliver measurable performance at scale across the app lifecycle. Liftoff enables advertisers to unlock profitable user growth while helping app publishers maximize revenue with advanced ad monetization technology. Founded in 2012 and headquartered in Redwood City, California, Liftoff supports a diverse, global customer base across gaming, consumer, and emerging app categories.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 xml:space="preserve">Contacts </w:t>
      </w:r>
    </w:p>
    <w:tbl>
      <w:tblPr>
        <w:tblW w:w="3495" w:type="dxa"/>
        <w:jc w:val="left"/>
        <w:tblInd w:w="0" w:type="dxa"/>
        <w:tblLayout w:type="fixed"/>
        <w:tblCellMar>
          <w:top w:w="28" w:type="dxa"/>
          <w:left w:w="28" w:type="dxa"/>
          <w:bottom w:w="28" w:type="dxa"/>
          <w:right w:w="28" w:type="dxa"/>
        </w:tblCellMar>
      </w:tblPr>
      <w:tblGrid>
        <w:gridCol w:w="674"/>
        <w:gridCol w:w="592"/>
        <w:gridCol w:w="594"/>
        <w:gridCol w:w="479"/>
        <w:gridCol w:w="479"/>
        <w:gridCol w:w="677"/>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 xml:space="preserve">Investor Relations </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Jenn Kettnich</w:t>
            </w:r>
          </w:p>
          <w:p>
            <w:pPr>
              <w:pStyle w:val="TableContents"/>
              <w:bidi w:val="0"/>
              <w:spacing w:lineRule="auto" w:line="300" w:before="0" w:after="0"/>
              <w:jc w:val="left"/>
              <w:rPr>
                <w:rFonts w:ascii="Arial;sans-serif" w:hAnsi="Arial;sans-serif"/>
                <w:b w:val="false"/>
                <w:i/>
                <w:color w:val="000000"/>
                <w:sz w:val="20"/>
                <w:u w:val="single"/>
              </w:rPr>
            </w:pPr>
            <w:r>
              <w:rPr>
                <w:rFonts w:ascii="Arial;sans-serif" w:hAnsi="Arial;sans-serif"/>
                <w:b w:val="false"/>
                <w:i/>
                <w:color w:val="000000"/>
                <w:sz w:val="20"/>
                <w:u w:val="single"/>
              </w:rPr>
              <w:t>investors@liftoff.ai</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Media Relations</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Laura Wilkinson</w:t>
            </w:r>
          </w:p>
          <w:p>
            <w:pPr>
              <w:pStyle w:val="TableContents"/>
              <w:bidi w:val="0"/>
              <w:spacing w:lineRule="auto" w:line="300" w:before="0" w:after="0"/>
              <w:jc w:val="left"/>
              <w:rPr>
                <w:rFonts w:ascii="Arial;sans-serif" w:hAnsi="Arial;sans-serif"/>
                <w:b w:val="false"/>
                <w:i/>
                <w:color w:val="000000"/>
                <w:sz w:val="20"/>
                <w:u w:val="single"/>
              </w:rPr>
            </w:pPr>
            <w:r>
              <w:rPr>
                <w:rFonts w:ascii="Arial;sans-serif" w:hAnsi="Arial;sans-serif"/>
                <w:b w:val="false"/>
                <w:i/>
                <w:color w:val="000000"/>
                <w:sz w:val="20"/>
                <w:u w:val="single"/>
              </w:rPr>
              <w:t>press@liftoff.ai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3390"/>
                <wp:effectExtent l="0" t="0" r="0" b="0"/>
                <wp:wrapNone/>
                <wp:docPr id="11" name="Frame5"/>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2 </w:t>
                            </w:r>
                            <w:r>
                              <w:rPr/>
                              <w:drawing>
                                <wp:inline distT="0" distB="0" distL="0" distR="0">
                                  <wp:extent cx="200025" cy="3619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8"/>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2 </w:t>
                      </w:r>
                      <w:r>
                        <w:rPr/>
                        <w:drawing>
                          <wp:inline distT="0" distB="0" distL="0" distR="0">
                            <wp:extent cx="200025" cy="3619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9"/>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CAUTIONARY NOTE ABOUT FORWARD-LOOKING STATEMENTS</w:t>
      </w:r>
    </w:p>
    <w:p>
      <w:pPr>
        <w:pStyle w:val="TextBody"/>
        <w:bidi w:val="0"/>
        <w:spacing w:before="0" w:after="0"/>
        <w:jc w:val="both"/>
        <w:rPr/>
      </w:pPr>
      <w:r>
        <w:rPr/>
      </w:r>
    </w:p>
    <w:p>
      <w:pPr>
        <w:pStyle w:val="TextBody"/>
        <w:bidi w:val="0"/>
        <w:spacing w:lineRule="auto" w:line="26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 xml:space="preserve">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Forward-looking statements include all statements that are not historical facts. Forward-looking statements include, but are not limited to, statements about: (1) projections of revenues, expenses, income or loss, earnings or loss per share, cash flow, margins, profitability, capital expenditures, liquidity, capital resources or other financial or operating items; (2) our plans, strategies and objectives, including those relating to our business model, growth strategy, market opportunity, customer retention and expansion, acquisition of new customers, technology innovation, Cortex and AI-related initiatives; (3) future financial or operating performance; (4) our expectations regarding macroeconomic conditions, market trends, competition, regulatory developments, taxes, public company costs, indebtedness, interest rates and other risks affecting our business; (5) our expectations regarding acquisitions, investments, dispositions, financings or other strategic transactions we may pursue; and (6) assumptions underlying any of the foregoing.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 this press release. Factors that may cause actual results to differ from expected results include those described in our filings with the Securities and Exchange Commission (the “SEC”), including those set forth in the “Risk Factors” section in our final prospectus (the “IPO Prospectus”) filed with the SEC on June 4, 2026 pursuant to Rule 424(b)(4) under the Securities Act relating to our registration statement on Form S-1 (File No. 333-295144). </w:t>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 xml:space="preserve">The forward-looking statements contained in this press release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including, among others, risks related to: our ability to retain existing customers, expand customer usage and attract new customers; the fact that we generally do not have long-term commitments from customers; advertiser demand, marketing budgets, customer churn or consolidation, and broader macroeconomic, market, public health and geopolitical conditions, including inflation, interest rates, tariffs and U.S.-China tensions; our dependence on mobile operating systems, app stores, large internet and technology companies, third-party platforms, cloud infrastructure providers, supply partners and other participants in the mobile advertising ecosystem; competition and rapid changes in technology, industry standards and customer needs; our ability to collect, use, disclose and otherwise process data, and evolving privacy, data protection, information security, consumer protection, advertising, tracking, targeting, protection of minors, AI and other legal and regulatory requirements; fraud, malware, cybersecurity incidents, system failures, service interruptions and other technical or operational disruptions; our ability to maintain and scale our technology, including Cortex and other AI capabilities, and develop and introduce new products and services; changes in app store policies, user opt-in or opt-out choices, ad-blocking technologies and other limitations on mobile advertising; our reliance on the continued growth and health of the mobile app ecosystem, including mobile gaming and the broader app economy; fluctuations in our operating results, revenue concentration, market opportunity estimates and key metrics; international operations, including risks associated with China, trade controls, tariffs, sanctions, anti-corruption laws and foreign currency exchange; our ability to attract, retain and motivate key personnel and sales teams and manage public company costs; acquisitions, investments, partnerships, financings and other strategic transactions; tax matters, accounting standards, estimates, goodwill or other impairment, stock-based compensation and internal controls, including the material weakness identified in our internal control over financial reporting; legal proceedings and intellectual property and open source software matters; ownership concentration and risks related to our common stock, including stock price volatility, future sales and dilution; and our substantial indebtedness, restrictive debt covenants, interest rate exposure, debt service obligations, liquidity and ability to raise additional capital. This list is not exhaustive. For a more detailed discussion of these and other factors, see the “Risk Factors” section in the IPO Prospectus. These factors should not be construed as exhaustive. Should one or more of these risks or uncertainties materialize, or should any of our assumptions prove incorrect, our actual results may vary in material respects from those expressed or implied in these forward-looking statements. </w:t>
      </w:r>
    </w:p>
    <w:p>
      <w:pPr>
        <w:pStyle w:val="TextBody"/>
        <w:bidi w:val="0"/>
        <w:spacing w:before="0" w:after="0"/>
        <w:jc w:val="both"/>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 xml:space="preserve">The forward-looking statements included in this press release speak only as of the date of this press release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in this press release to reflect changed assumptions, the occurrence of unanticipated events, or changes to future operating results over time. </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3390"/>
                <wp:effectExtent l="0" t="0" r="0" b="0"/>
                <wp:wrapNone/>
                <wp:docPr id="14" name="Frame6"/>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3 </w:t>
                            </w:r>
                            <w:r>
                              <w:rPr/>
                              <w:drawing>
                                <wp:inline distT="0" distB="0" distL="0" distR="0">
                                  <wp:extent cx="200025" cy="3619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0"/>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3 </w:t>
                      </w:r>
                      <w:r>
                        <w:rPr/>
                        <w:drawing>
                          <wp:inline distT="0" distB="0" distL="0" distR="0">
                            <wp:extent cx="200025" cy="3619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1"/>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0"/>
          <w:u w:val="single"/>
        </w:rPr>
      </w:pPr>
      <w:r>
        <w:rPr>
          <w:rFonts w:ascii="Arial;sans-serif" w:hAnsi="Arial;sans-serif"/>
          <w:b/>
          <w:color w:val="000000"/>
          <w:sz w:val="20"/>
          <w:u w:val="single"/>
        </w:rPr>
        <w:t>Key Operating and Financial Metrics</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monitor the following key metrics to help us evaluate the health of our business, identify trends affecting our growth, formulate goals and objectives and make strategic decisions. We believe these non-GAAP and operational measures are useful in evaluating our performance, in addition to our financial results prepared in accordance with GAAP.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definitions may differ from the definitions used by other companies and therefore comparability may be limited. In addition, other companies, including peer companies, may not publish these or similar metrics. Thus, our non-GAAP financial measures should be considered in addition to, not as substitutes for, or in isolation from, measures prepared in accordance with GAAP. We also strongly urge you to review the reconciliation to the corresponding GAAP financial measures set forth at the end of this press release. To properly and prudently evaluate our business, we encourage you to review Liftoff’s financial information in its entirety and not to rely on a single financial measure to evaluate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Adjusted EBITDA and Adjusted EBITDA Margin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report our financial results in accordance with GAAP, however, management believes that Adjusted EBITDA and Adjusted EBITDA Margin, which are non-GAAP measures, provide users of our financial information with useful supplemental information enabling a comparison of our performance across periods. We believe Adjusted EBITDA and Adjusted EBITDA Margin provide visibility to the underlying continuing operating performance of our business. Management uses Adjusted EBITDA and Adjusted EBITDA Margin to evaluate and manage the performance of our business, make resource allocation decisions, and compensate key personnel as they provide further understanding with respect to the results of our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define Adjusted EBITDA as net income adjusted for interest expense, net, income tax expense, depreciation and amortization expense, stock-based compensation, other expenses, net, and further adjusted for certain items that impact comparison of the performance of our businesses either period-over period or with other businesses as more fully described below. We also disclose Adjusted EBITDA Margin, which is calculated as Adjusted EBITDA divided by revenue. </w:t>
      </w:r>
    </w:p>
    <w:p>
      <w:pPr>
        <w:pStyle w:val="TextBody"/>
        <w:bidi w:val="0"/>
        <w:spacing w:before="0" w:after="0"/>
        <w:jc w:val="left"/>
        <w:rPr/>
      </w:pPr>
      <w:r>
        <w:rPr/>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condensed consolidated statements of operations that are necessary to run our business. Our definitions may differ from the definitions used by other companies and therefore comparability may be limited. In addition, other companies may not publish these or similar metrics. Thus, our Adjusted EBITDA and Adjusted EBITDA Margin should be considered in addition to, not as substitutes for, or in isolation from, measures prepared in accordance with GAAP. Some of the limitations and other factors to consider include: </w:t>
      </w:r>
    </w:p>
    <w:p>
      <w:pPr>
        <w:pStyle w:val="TextBody"/>
        <w:bidi w:val="0"/>
        <w:spacing w:before="0" w:after="0"/>
        <w:ind w:left="0" w:right="0" w:firstLine="490"/>
        <w:jc w:val="left"/>
        <w:rPr/>
      </w:pPr>
      <w:r>
        <w:rPr/>
      </w:r>
    </w:p>
    <w:p>
      <w:pPr>
        <w:pStyle w:val="TextBody"/>
        <w:bidi w:val="0"/>
        <w:spacing w:lineRule="auto" w:line="232" w:before="0" w:after="0"/>
        <w:jc w:val="left"/>
        <w:rPr/>
      </w:pPr>
      <w:r>
        <w:rPr>
          <w:color w:val="000000"/>
        </w:rPr>
        <w:t>•</w:t>
      </w:r>
      <w:r>
        <w:rPr>
          <w:rFonts w:ascii="Arial;sans-serif" w:hAnsi="Arial;sans-serif"/>
          <w:b w:val="false"/>
          <w:color w:val="000000"/>
          <w:sz w:val="20"/>
        </w:rPr>
        <w:t xml:space="preserve">Adjusted EBITDA and Adjusted EBITDA Margin exclude the recurring, non-cash expenses of depreciation and amortization of property and equipment, capitalized internal-use software, and definite-lived intangible assets, and although these are non-cash expenses, the assets being depreciated and amortized may have to be replaced in the future; </w:t>
      </w:r>
    </w:p>
    <w:p>
      <w:pPr>
        <w:pStyle w:val="TextBody"/>
        <w:bidi w:val="0"/>
        <w:spacing w:before="0" w:after="0"/>
        <w:jc w:val="left"/>
        <w:rPr/>
      </w:pPr>
      <w:r>
        <w:rPr/>
      </w:r>
    </w:p>
    <w:p>
      <w:pPr>
        <w:pStyle w:val="TextBody"/>
        <w:bidi w:val="0"/>
        <w:spacing w:lineRule="auto" w:line="232" w:before="0" w:after="0"/>
        <w:jc w:val="left"/>
        <w:rPr/>
      </w:pPr>
      <w:r>
        <w:rPr>
          <w:color w:val="000000"/>
        </w:rPr>
        <w:t>•</w:t>
      </w:r>
      <w:r>
        <w:rPr>
          <w:rFonts w:ascii="Arial;sans-serif" w:hAnsi="Arial;sans-serif"/>
          <w:b w:val="false"/>
          <w:color w:val="000000"/>
          <w:sz w:val="20"/>
        </w:rPr>
        <w:t xml:space="preserve">Adjusted EBITDA and Adjusted EBITDA Margin do not reflect changes in or cash requirements for our working capital needs; </w:t>
      </w:r>
    </w:p>
    <w:p>
      <w:pPr>
        <w:pStyle w:val="TextBody"/>
        <w:bidi w:val="0"/>
        <w:spacing w:before="0" w:after="0"/>
        <w:jc w:val="left"/>
        <w:rPr/>
      </w:pPr>
      <w:r>
        <w:rPr/>
      </w:r>
    </w:p>
    <w:p>
      <w:pPr>
        <w:pStyle w:val="TextBody"/>
        <w:bidi w:val="0"/>
        <w:spacing w:lineRule="auto" w:line="232" w:before="0" w:after="0"/>
        <w:jc w:val="left"/>
        <w:rPr/>
      </w:pPr>
      <w:r>
        <w:rPr>
          <w:color w:val="000000"/>
        </w:rPr>
        <w:t>•</w:t>
      </w:r>
      <w:r>
        <w:rPr>
          <w:rFonts w:ascii="Arial;sans-serif" w:hAnsi="Arial;sans-serif"/>
          <w:b w:val="false"/>
          <w:color w:val="000000"/>
          <w:sz w:val="20"/>
        </w:rPr>
        <w:t>Adjusted EBITDA and Adjusted EBITDA Margin exclude stock-based compensation expense, which has been, and will continue to be for the foreseeable future, an important part of how we attract and retain our employees and a significant recurring expense in our business;</w:t>
      </w:r>
    </w:p>
    <w:p>
      <w:pPr>
        <w:pStyle w:val="TextBody"/>
        <w:bidi w:val="0"/>
        <w:spacing w:before="0" w:after="0"/>
        <w:jc w:val="left"/>
        <w:rPr/>
      </w:pPr>
      <w:r>
        <w:rPr/>
      </w:r>
    </w:p>
    <w:p>
      <w:pPr>
        <w:pStyle w:val="TextBody"/>
        <w:bidi w:val="0"/>
        <w:spacing w:lineRule="auto" w:line="232" w:before="0" w:after="0"/>
        <w:jc w:val="left"/>
        <w:rPr/>
      </w:pPr>
      <w:r>
        <w:rPr>
          <w:color w:val="000000"/>
        </w:rPr>
        <w:t>•</w:t>
      </w:r>
      <w:r>
        <w:rPr>
          <w:rFonts w:ascii="Arial;sans-serif" w:hAnsi="Arial;sans-serif"/>
          <w:b w:val="false"/>
          <w:color w:val="000000"/>
          <w:sz w:val="20"/>
        </w:rPr>
        <w:t xml:space="preserve">Adjusted EBITDA and Adjusted EBITDA Margin do not reflect the interest expense, net or the cash requirements to service interest or principal payments on our indebtedness; </w:t>
      </w:r>
    </w:p>
    <w:p>
      <w:pPr>
        <w:pStyle w:val="TextBody"/>
        <w:bidi w:val="0"/>
        <w:spacing w:before="0" w:after="0"/>
        <w:jc w:val="left"/>
        <w:rPr/>
      </w:pPr>
      <w:r>
        <w:rPr/>
      </w:r>
    </w:p>
    <w:p>
      <w:pPr>
        <w:pStyle w:val="TextBody"/>
        <w:bidi w:val="0"/>
        <w:spacing w:lineRule="auto" w:line="232" w:before="0" w:after="0"/>
        <w:jc w:val="left"/>
        <w:rPr/>
      </w:pPr>
      <w:r>
        <w:rPr>
          <w:color w:val="000000"/>
        </w:rPr>
        <w:t>•</w:t>
      </w:r>
      <w:r>
        <w:rPr>
          <w:rFonts w:ascii="Arial;sans-serif" w:hAnsi="Arial;sans-serif"/>
          <w:b w:val="false"/>
          <w:color w:val="000000"/>
          <w:sz w:val="20"/>
        </w:rPr>
        <w:t>Adjusted EBITDA and Adjusted EBITDA Margin exclude the non-cash charges related to debt extinguishments, impairments of primarily capitalized internal-use software, and revaluation of contingent consideration, as these impact the comparability of our business across periods and do not relate to the continuing operating performance of our business;</w:t>
      </w:r>
    </w:p>
    <w:p>
      <w:pPr>
        <w:pStyle w:val="TextBody"/>
        <w:bidi w:val="0"/>
        <w:spacing w:before="0" w:after="0"/>
        <w:jc w:val="left"/>
        <w:rPr/>
      </w:pPr>
      <w:r>
        <w:rPr/>
      </w:r>
    </w:p>
    <w:p>
      <w:pPr>
        <w:pStyle w:val="TextBody"/>
        <w:bidi w:val="0"/>
        <w:spacing w:lineRule="auto" w:line="232" w:before="0" w:after="0"/>
        <w:jc w:val="left"/>
        <w:rPr/>
      </w:pPr>
      <w:r>
        <w:rPr>
          <w:color w:val="000000"/>
        </w:rPr>
        <w:t>•</w:t>
      </w:r>
      <w:r>
        <w:rPr>
          <w:rFonts w:ascii="Arial;sans-serif" w:hAnsi="Arial;sans-serif"/>
          <w:b w:val="false"/>
          <w:color w:val="000000"/>
          <w:sz w:val="20"/>
        </w:rPr>
        <w:t xml:space="preserve">Adjusted EBITDA and Adjusted EBITDA Margin exclude costs related to IPO, integration, non-recurring transactions and expenses, and reorganization severance costs, as these impact the comparability of our business across periods and do not relate to the continuing operating performance of our business; </w:t>
      </w:r>
    </w:p>
    <w:p>
      <w:pPr>
        <w:pStyle w:val="TextBody"/>
        <w:bidi w:val="0"/>
        <w:spacing w:before="0" w:after="0"/>
        <w:jc w:val="left"/>
        <w:rPr/>
      </w:pPr>
      <w:r>
        <w:rPr/>
      </w:r>
    </w:p>
    <w:p>
      <w:pPr>
        <w:pStyle w:val="TextBody"/>
        <w:bidi w:val="0"/>
        <w:spacing w:lineRule="auto" w:line="232" w:before="0" w:after="0"/>
        <w:jc w:val="left"/>
        <w:rPr/>
      </w:pPr>
      <w:r>
        <w:rPr>
          <w:color w:val="000000"/>
        </w:rPr>
        <w:t>•</w:t>
      </w:r>
      <w:r>
        <w:rPr>
          <w:rFonts w:ascii="Arial;sans-serif" w:hAnsi="Arial;sans-serif"/>
          <w:b w:val="false"/>
          <w:color w:val="000000"/>
          <w:sz w:val="20"/>
        </w:rPr>
        <w:t xml:space="preserve">Adjusted EBITDA and Adjusted EBITDA Margin do not reflect our income tax expense provision; and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3390"/>
                <wp:effectExtent l="0" t="0" r="0" b="0"/>
                <wp:wrapNone/>
                <wp:docPr id="17" name="Frame7"/>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4 </w:t>
                            </w:r>
                            <w:r>
                              <w:rPr/>
                              <w:drawing>
                                <wp:inline distT="0" distB="0" distL="0" distR="0">
                                  <wp:extent cx="200025" cy="3619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2"/>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4 </w:t>
                      </w:r>
                      <w:r>
                        <w:rPr/>
                        <w:drawing>
                          <wp:inline distT="0" distB="0" distL="0" distR="0">
                            <wp:extent cx="200025" cy="36195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3"/>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p>
      <w:pPr>
        <w:pStyle w:val="TextBody"/>
        <w:bidi w:val="0"/>
        <w:spacing w:lineRule="auto" w:line="232" w:before="0" w:after="0"/>
        <w:jc w:val="left"/>
        <w:rPr/>
      </w:pPr>
      <w:r>
        <w:rPr>
          <w:color w:val="000000"/>
        </w:rPr>
        <w:t>•</w:t>
      </w:r>
      <w:r>
        <w:rPr>
          <w:rFonts w:ascii="Arial;sans-serif" w:hAnsi="Arial;sans-serif"/>
          <w:b w:val="false"/>
          <w:color w:val="000000"/>
          <w:sz w:val="20"/>
        </w:rPr>
        <w:t xml:space="preserve">Adjusted EBITDA and Adjusted EBITDA Margin exclude other expenses, net, which primarily relate to non-operating foreign exchange gains and losses. </w:t>
      </w:r>
    </w:p>
    <w:p>
      <w:pPr>
        <w:pStyle w:val="TextBody"/>
        <w:bidi w:val="0"/>
        <w:spacing w:before="0" w:after="0"/>
        <w:jc w:val="left"/>
        <w:rPr/>
      </w:pPr>
      <w:r>
        <w:rPr/>
      </w:r>
    </w:p>
    <w:p>
      <w:pPr>
        <w:pStyle w:val="TextBody"/>
        <w:bidi w:val="0"/>
        <w:spacing w:lineRule="auto" w:line="232"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Adjusted EBITDA is not a liquidity measure and should not be considered as discretionary cash available to us to reinvest in the growth of our business or to distribute to stockholders or as a measure of cash that will be available to us to meet our obligations.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Free Cash Flow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define Free Cash Flow as net cash provided by operating activities less purchase and capitalization of property, equipment and software. We subtract purchase and capitalization of property, equipment and software in our calculation of Free Cash Flow as we believe these expenditures represent ongoing investments required to support and grow our business. Our definition may differ from the definitions used by other companies and therefore comparability may be limited. In addition, other companies may not publish Free Cash Flow or similar metrics. Thus, our Free Cash Flow, which is a non-GAAP measure, should be considered in addition to, not as a substitute for, or in isolation from, measures prepared in accordance with GAAP.</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Free Cash Flow is a measure of liquidity that provides useful information to our management, investors and others in understanding and evaluating the strength of our liquidity and future ability to generate cash that can be used for strategic opportunities, including investing in our business. Free Cash Flow has certain limitations in that it does not represent our residual cash flow for discretionary expenditures and our non-discretionary commitments. Free Cash Flow is not necessarily a measure of our ability to fund our cash needs.</w:t>
      </w:r>
    </w:p>
    <w:p>
      <w:pPr>
        <w:pStyle w:val="TextBody"/>
        <w:bidi w:val="0"/>
        <w:spacing w:before="0" w:after="0"/>
        <w:ind w:left="0" w:right="0" w:firstLine="72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Core Advertising Revenue </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Core Advertising Revenue represents revenue generated from our current advertising platforms, which are predominantly powered by Cortex-backed demand solutions. Core Advertising represents the foundation of our business moving forward, reflecting our strategic focus on Cortex-enabled solutions and anticipated long-term growth within performance advertising. We believe Core Advertising revenue, and its historical growth, is an important metric as it aligns with the rollout of Cortex in 2023 and is more representative of our growth potential versus total revenue in historical periods.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Core Advertising Daily Average Revenue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xml:space="preserve">     </w:t>
      </w:r>
      <w:r>
        <w:rPr>
          <w:rFonts w:ascii="Arial;sans-serif" w:hAnsi="Arial;sans-serif"/>
          <w:b w:val="false"/>
          <w:color w:val="000000"/>
          <w:sz w:val="20"/>
        </w:rPr>
        <w:t>Core Advertising Daily Average Revenue (“DAR”) is calculated by dividing Core Advertising Revenue by the number of calendar days during the reporting period. We believe DAR provides investors with useful information about the performance of our core advertising business and a normalized measure of revenue that facilitates comparisons across reporting periods with differing numbers of calendar days.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3390"/>
                <wp:effectExtent l="0" t="0" r="0" b="0"/>
                <wp:wrapNone/>
                <wp:docPr id="20" name="Frame8"/>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5 </w:t>
                            </w:r>
                            <w:r>
                              <w:rPr/>
                              <w:drawing>
                                <wp:inline distT="0" distB="0" distL="0" distR="0">
                                  <wp:extent cx="200025" cy="36195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4"/>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5 </w:t>
                      </w:r>
                      <w:r>
                        <w:rPr/>
                        <w:drawing>
                          <wp:inline distT="0" distB="0" distL="0" distR="0">
                            <wp:extent cx="200025" cy="36195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5"/>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Balance Sheets</w:t>
      </w:r>
    </w:p>
    <w:p>
      <w:pPr>
        <w:pStyle w:val="TextBody"/>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As of June 30, 2026 and December 31, 2025</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(In thousands, except share and per share data)</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09"/>
        <w:gridCol w:w="2042"/>
        <w:gridCol w:w="1972"/>
        <w:gridCol w:w="211"/>
        <w:gridCol w:w="976"/>
        <w:gridCol w:w="109"/>
        <w:gridCol w:w="109"/>
        <w:gridCol w:w="109"/>
        <w:gridCol w:w="109"/>
        <w:gridCol w:w="562"/>
        <w:gridCol w:w="534"/>
        <w:gridCol w:w="406"/>
        <w:gridCol w:w="157"/>
      </w:tblGrid>
      <w:tr>
        <w:trPr/>
        <w:tc>
          <w:tcPr>
            <w:tcW w:w="2909"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99"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305,398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133,306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366,112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355,277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Income tax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1,651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20,498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26,891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37" w:before="0" w:after="0"/>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9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517,125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Restricted cash</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2" w:before="0" w:after="283"/>
              <w:jc w:val="right"/>
              <w:rPr>
                <w:rFonts w:ascii="Arial;sans-serif" w:hAnsi="Arial;sans-serif"/>
                <w:b w:val="false"/>
                <w:color w:val="000000"/>
                <w:sz w:val="18"/>
              </w:rPr>
            </w:pPr>
            <w:r>
              <w:rPr>
                <w:rFonts w:ascii="Arial;sans-serif" w:hAnsi="Arial;sans-serif"/>
                <w:b w:val="false"/>
                <w:color w:val="000000"/>
                <w:sz w:val="18"/>
              </w:rPr>
              <w:t>789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Property, equipment, and software, net</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128,984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115,968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153,313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178,677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Goodwill</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1,056,302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1,057,180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33,571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31,590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1,901,329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52" w:before="206" w:after="283"/>
              <w:jc w:val="left"/>
              <w:rPr>
                <w:rFonts w:ascii="Arial;sans-serif" w:hAnsi="Arial;sans-serif"/>
                <w:b/>
                <w:color w:val="000000"/>
                <w:sz w:val="18"/>
              </w:rPr>
            </w:pPr>
            <w:r>
              <w:rPr>
                <w:rFonts w:ascii="Arial;sans-serif" w:hAnsi="Arial;sans-serif"/>
                <w:b/>
                <w:color w:val="000000"/>
                <w:sz w:val="18"/>
              </w:rPr>
              <w:t>LIABILITIES, REDEEMABLE CONVERTIBLE PREFERRED STOCK, AND STOCKHOLDERS’ EQUITY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355,096 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356,519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99,294 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77,216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18,550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30,274 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29,169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503,214 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481,454</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54" w:before="0" w:after="0"/>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1,801,150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126,597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2,071,496 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2,438,210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32" w:before="0" w:after="0"/>
              <w:jc w:val="left"/>
              <w:rPr>
                <w:rFonts w:ascii="Arial;sans-serif" w:hAnsi="Arial;sans-serif"/>
                <w:b w:val="false"/>
                <w:color w:val="000000"/>
                <w:sz w:val="18"/>
              </w:rPr>
            </w:pPr>
            <w:r>
              <w:rPr>
                <w:rFonts w:ascii="Arial;sans-serif" w:hAnsi="Arial;sans-serif"/>
                <w:b w:val="false"/>
                <w:color w:val="000000"/>
                <w:sz w:val="18"/>
              </w:rPr>
              <w:t>Redeemable convertible preferred stock:</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A redeemable convertible preferred stock ($0.0001 par value – Nil and 1,000,000 shares authorized as of June 30, 2026 and December 31, 2025, respectively; Nil and 425,000 shares issued and outstanding as of June 30, 2026 and December 31, 2025, respectively) Liquidation preference of nil and $425,000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18"/>
              </w:rPr>
            </w:pPr>
            <w:r>
              <w:rPr>
                <w:rFonts w:ascii="Arial;sans-serif" w:hAnsi="Arial;sans-serif"/>
                <w:b w:val="false"/>
                <w:color w:val="000000"/>
                <w:sz w:val="18"/>
              </w:rPr>
              <w:t>414,607 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Stockholders’ equity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Preferred stock ($0.0001 par value - 700,000,000 and nil shares authorized as of June 30, 2026 and December 31, 2025, respectively, no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value - 7,000,000,000 and 234,000,000 shares authorized as of June 30, 2026 and December 31, 2025, respectively; 169,330,527 and 123,002,518 shares issued and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30" w:before="0" w:after="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Arial;sans-serif" w:hAnsi="Arial;sans-serif"/>
                <w:b w:val="false"/>
                <w:color w:val="000000"/>
                <w:sz w:val="18"/>
              </w:rPr>
            </w:pPr>
            <w:r>
              <w:rPr>
                <w:rFonts w:ascii="Arial;sans-serif" w:hAnsi="Arial;sans-serif"/>
                <w:b w:val="false"/>
                <w:color w:val="000000"/>
                <w:sz w:val="18"/>
              </w:rPr>
              <w:t>(1,400)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1" w:before="0" w:after="283"/>
              <w:jc w:val="right"/>
              <w:rPr>
                <w:rFonts w:ascii="Arial;sans-serif" w:hAnsi="Arial;sans-serif"/>
                <w:b w:val="false"/>
                <w:color w:val="000000"/>
                <w:sz w:val="18"/>
              </w:rPr>
            </w:pPr>
            <w:r>
              <w:rPr>
                <w:rFonts w:ascii="Arial;sans-serif" w:hAnsi="Arial;sans-serif"/>
                <w:b w:val="false"/>
                <w:color w:val="000000"/>
                <w:sz w:val="18"/>
              </w:rPr>
              <w:t>(910,871)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(955,971)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18"/>
              </w:rPr>
            </w:pPr>
            <w:r>
              <w:rPr>
                <w:rFonts w:ascii="Arial;sans-serif" w:hAnsi="Arial;sans-serif"/>
                <w:b w:val="false"/>
                <w:color w:val="000000"/>
                <w:sz w:val="18"/>
              </w:rPr>
              <w:t>Total stockholders’ equity (deficit)</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8"/>
              </w:rPr>
            </w:pPr>
            <w:r>
              <w:rPr>
                <w:rFonts w:ascii="Arial;sans-serif" w:hAnsi="Arial;sans-serif"/>
                <w:b w:val="false"/>
                <w:color w:val="000000"/>
                <w:sz w:val="18"/>
              </w:rPr>
              <w:t>(5,534)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Arial;sans-serif" w:hAnsi="Arial;sans-serif"/>
                <w:b w:val="false"/>
                <w:color w:val="000000"/>
                <w:sz w:val="18"/>
              </w:rPr>
            </w:pPr>
            <w:r>
              <w:rPr>
                <w:rFonts w:ascii="Arial;sans-serif" w:hAnsi="Arial;sans-serif"/>
                <w:b w:val="false"/>
                <w:color w:val="000000"/>
                <w:sz w:val="18"/>
              </w:rPr>
              <w:t>(951,488)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18"/>
              </w:rPr>
            </w:pPr>
            <w:r>
              <w:rPr>
                <w:rFonts w:ascii="Arial;sans-serif" w:hAnsi="Arial;sans-serif"/>
                <w:b w:val="false"/>
                <w:color w:val="000000"/>
                <w:sz w:val="18"/>
              </w:rPr>
              <w:t>Total liabilities, redeemable convertible preferred stock,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1,901,329</w:t>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3390"/>
                <wp:effectExtent l="0" t="0" r="0" b="0"/>
                <wp:wrapNone/>
                <wp:docPr id="23" name="Frame9"/>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6 </w:t>
                            </w:r>
                            <w:r>
                              <w:rPr/>
                              <w:drawing>
                                <wp:inline distT="0" distB="0" distL="0" distR="0">
                                  <wp:extent cx="200025" cy="36195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6"/>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6 </w:t>
                      </w:r>
                      <w:r>
                        <w:rPr/>
                        <w:drawing>
                          <wp:inline distT="0" distB="0" distL="0" distR="0">
                            <wp:extent cx="200025" cy="36195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7"/>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Statements of Operations</w:t>
      </w:r>
    </w:p>
    <w:p>
      <w:pPr>
        <w:pStyle w:val="TextBody"/>
        <w:bidi w:val="0"/>
        <w:spacing w:lineRule="auto" w:line="266" w:before="0" w:after="0"/>
        <w:jc w:val="center"/>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p>
      <w:pPr>
        <w:pStyle w:val="TextBody"/>
        <w:bidi w:val="0"/>
        <w:spacing w:lineRule="auto" w:line="266" w:before="0" w:after="0"/>
        <w:jc w:val="center"/>
        <w:rPr>
          <w:rFonts w:ascii="Arial;sans-serif" w:hAnsi="Arial;sans-serif"/>
          <w:b w:val="false"/>
          <w:i/>
          <w:color w:val="000000"/>
          <w:sz w:val="20"/>
        </w:rPr>
      </w:pPr>
      <w:r>
        <w:rPr>
          <w:rFonts w:ascii="Arial;sans-serif" w:hAnsi="Arial;sans-serif"/>
          <w:b w:val="false"/>
          <w:i/>
          <w:color w:val="000000"/>
          <w:sz w:val="20"/>
        </w:rPr>
        <w:t>(In thousands, except share and per share data)</w:t>
      </w:r>
    </w:p>
    <w:p>
      <w:pPr>
        <w:pStyle w:val="TextBody"/>
        <w:bidi w:val="0"/>
        <w:spacing w:lineRule="auto" w:line="266" w:before="0" w:after="0"/>
        <w:jc w:val="center"/>
        <w:rPr>
          <w:rFonts w:ascii="Arial;sans-serif" w:hAnsi="Arial;sans-serif"/>
          <w:b w:val="false"/>
          <w:i/>
          <w:color w:val="000000"/>
          <w:sz w:val="20"/>
        </w:rPr>
      </w:pPr>
      <w:r>
        <w:rPr>
          <w:rFonts w:ascii="Arial;sans-serif" w:hAnsi="Arial;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97"/>
        <w:gridCol w:w="812"/>
        <w:gridCol w:w="823"/>
        <w:gridCol w:w="314"/>
        <w:gridCol w:w="978"/>
        <w:gridCol w:w="118"/>
        <w:gridCol w:w="118"/>
        <w:gridCol w:w="118"/>
        <w:gridCol w:w="118"/>
        <w:gridCol w:w="326"/>
        <w:gridCol w:w="422"/>
        <w:gridCol w:w="423"/>
        <w:gridCol w:w="109"/>
        <w:gridCol w:w="109"/>
        <w:gridCol w:w="109"/>
        <w:gridCol w:w="109"/>
        <w:gridCol w:w="109"/>
        <w:gridCol w:w="109"/>
        <w:gridCol w:w="391"/>
        <w:gridCol w:w="398"/>
        <w:gridCol w:w="398"/>
        <w:gridCol w:w="131"/>
        <w:gridCol w:w="131"/>
        <w:gridCol w:w="131"/>
        <w:gridCol w:w="391"/>
        <w:gridCol w:w="399"/>
        <w:gridCol w:w="399"/>
        <w:gridCol w:w="109"/>
        <w:gridCol w:w="109"/>
        <w:gridCol w:w="109"/>
        <w:gridCol w:w="109"/>
        <w:gridCol w:w="109"/>
        <w:gridCol w:w="109"/>
        <w:gridCol w:w="161"/>
      </w:tblGrid>
      <w:tr>
        <w:trPr/>
        <w:tc>
          <w:tcPr>
            <w:tcW w:w="139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52" w:before="0" w:after="0"/>
              <w:ind w:left="0" w:right="0" w:firstLine="4"/>
              <w:jc w:val="left"/>
              <w:rPr>
                <w:rFonts w:ascii="Arial;sans-serif" w:hAnsi="Arial;sans-serif"/>
                <w:b w:val="false"/>
                <w:color w:val="000000"/>
                <w:sz w:val="20"/>
              </w:rPr>
            </w:pPr>
            <w:r>
              <w:rPr>
                <w:rFonts w:ascii="Arial;sans-serif" w:hAnsi="Arial;sans-serif"/>
                <w:b w:val="false"/>
                <w:color w:val="000000"/>
                <w:sz w:val="20"/>
              </w:rPr>
              <w:t>Revenue</w:t>
            </w:r>
          </w:p>
        </w:tc>
        <w:tc>
          <w:tcPr>
            <w:tcW w:w="3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219,505 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425,147</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operating expenses: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excluding depreciation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57,018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59,834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61,887</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38,329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44,731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Total costs and operating expenses</w:t>
            </w:r>
          </w:p>
        </w:tc>
        <w:tc>
          <w:tcPr>
            <w:tcW w:w="12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142,094 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261,799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29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77,411 </w:t>
            </w:r>
          </w:p>
        </w:tc>
        <w:tc>
          <w:tcPr>
            <w:tcW w:w="11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163,348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88" w:before="28" w:after="283"/>
              <w:ind w:left="0" w:right="0" w:hanging="5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(68,314)</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Post-conversion earnout share liability revaluation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31F20"/>
                <w:sz w:val="20"/>
              </w:rPr>
            </w:pPr>
            <w:r>
              <w:rPr>
                <w:rFonts w:ascii="Arial;sans-serif" w:hAnsi="Arial;sans-serif"/>
                <w:b w:val="false"/>
                <w:color w:val="231F20"/>
                <w:sz w:val="20"/>
              </w:rPr>
              <w:t>2,675</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 revaluation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(12,629)</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19,230 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77,516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88" w:before="28" w:after="283"/>
              <w:ind w:left="0" w:right="0" w:hanging="50"/>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42424"/>
                <w:sz w:val="20"/>
              </w:rPr>
            </w:pPr>
            <w:r>
              <w:rPr>
                <w:rFonts w:ascii="Arial;sans-serif" w:hAnsi="Arial;sans-serif"/>
                <w:b w:val="false"/>
                <w:color w:val="242424"/>
                <w:sz w:val="20"/>
              </w:rPr>
              <w:t>(23,461)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(32,416)</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(23,783)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45,100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right"/>
              <w:rPr>
                <w:rFonts w:ascii="Arial;sans-serif" w:hAnsi="Arial;sans-serif"/>
                <w:b w:val="false"/>
                <w:color w:val="000000"/>
                <w:sz w:val="20"/>
              </w:rPr>
            </w:pPr>
            <w:r>
              <w:rPr>
                <w:rFonts w:ascii="Arial;sans-serif" w:hAnsi="Arial;sans-serif"/>
                <w:b w:val="false"/>
                <w:color w:val="000000"/>
                <w:sz w:val="20"/>
              </w:rPr>
              <w:t>(19,915)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Net income (loss) per share:</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Diluted</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Weighted average common shares used to compute net income (loss) per share attributable to common stockholders: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Basic</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137,076,788 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145,269,540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130,121,241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145,309,595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Diluted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137,076,788 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145,269,540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143,533,326</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right"/>
              <w:rPr>
                <w:rFonts w:ascii="Arial;sans-serif" w:hAnsi="Arial;sans-serif"/>
                <w:b w:val="false"/>
                <w:color w:val="000000"/>
                <w:sz w:val="20"/>
              </w:rPr>
            </w:pPr>
            <w:r>
              <w:rPr>
                <w:rFonts w:ascii="Arial;sans-serif" w:hAnsi="Arial;sans-serif"/>
                <w:b w:val="false"/>
                <w:color w:val="000000"/>
                <w:sz w:val="20"/>
              </w:rPr>
              <w:t>145,309,595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 w:after="283"/>
        <w:ind w:left="0" w:right="0" w:firstLine="20"/>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pStyle w:val="TextBody"/>
        <w:bidi w:val="0"/>
        <w:spacing w:before="1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3390"/>
                <wp:effectExtent l="0" t="0" r="0" b="0"/>
                <wp:wrapNone/>
                <wp:docPr id="26" name="Frame10"/>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7 </w:t>
                            </w:r>
                            <w:r>
                              <w:rPr/>
                              <w:drawing>
                                <wp:inline distT="0" distB="0" distL="0" distR="0">
                                  <wp:extent cx="200025" cy="36195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8"/>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7 </w:t>
                      </w:r>
                      <w:r>
                        <w:rPr/>
                        <w:drawing>
                          <wp:inline distT="0" distB="0" distL="0" distR="0">
                            <wp:extent cx="200025" cy="36195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9"/>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Statements of Cash Flows</w:t>
      </w:r>
    </w:p>
    <w:p>
      <w:pPr>
        <w:pStyle w:val="TextBody"/>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For the six months ended June 30, 2026 and 2025</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(In thousands)</w:t>
      </w:r>
    </w:p>
    <w:p>
      <w:pPr>
        <w:pStyle w:val="TextBody"/>
        <w:bidi w:val="0"/>
        <w:spacing w:lineRule="auto" w:line="288" w:before="1" w:after="283"/>
        <w:jc w:val="center"/>
        <w:rPr>
          <w:rFonts w:ascii="Arial;sans-serif" w:hAnsi="Arial;sans-serif"/>
          <w:b w:val="false"/>
          <w:i/>
          <w:color w:val="000000"/>
          <w:sz w:val="20"/>
        </w:rPr>
      </w:pPr>
      <w:r>
        <w:rPr>
          <w:rFonts w:ascii="Arial;sans-serif" w:hAnsi="Arial;sans-serif"/>
          <w:b w:val="false"/>
          <w:i/>
          <w:color w:val="000000"/>
          <w:sz w:val="20"/>
        </w:rPr>
        <w:t>(Unaudited)</w:t>
      </w:r>
    </w:p>
    <w:p>
      <w:pPr>
        <w:pStyle w:val="TextBody"/>
        <w:bidi w:val="0"/>
        <w:spacing w:before="2" w:after="283"/>
        <w:jc w:val="left"/>
        <w:rPr/>
      </w:pPr>
      <w:r>
        <w:rPr/>
      </w:r>
    </w:p>
    <w:tbl>
      <w:tblPr>
        <w:tblW w:w="10205" w:type="dxa"/>
        <w:jc w:val="left"/>
        <w:tblInd w:w="0" w:type="dxa"/>
        <w:tblLayout w:type="fixed"/>
        <w:tblCellMar>
          <w:top w:w="28" w:type="dxa"/>
          <w:left w:w="28" w:type="dxa"/>
          <w:bottom w:w="28" w:type="dxa"/>
          <w:right w:w="28" w:type="dxa"/>
        </w:tblCellMar>
      </w:tblPr>
      <w:tblGrid>
        <w:gridCol w:w="2329"/>
        <w:gridCol w:w="1937"/>
        <w:gridCol w:w="1948"/>
        <w:gridCol w:w="109"/>
        <w:gridCol w:w="371"/>
        <w:gridCol w:w="371"/>
        <w:gridCol w:w="718"/>
        <w:gridCol w:w="447"/>
        <w:gridCol w:w="425"/>
        <w:gridCol w:w="109"/>
        <w:gridCol w:w="109"/>
        <w:gridCol w:w="109"/>
        <w:gridCol w:w="258"/>
        <w:gridCol w:w="401"/>
        <w:gridCol w:w="405"/>
        <w:gridCol w:w="159"/>
      </w:tblGrid>
      <w:tr>
        <w:trPr/>
        <w:tc>
          <w:tcPr>
            <w:tcW w:w="2329"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4"/>
            <w:tcBorders/>
          </w:tcPr>
          <w:p>
            <w:pPr>
              <w:pStyle w:val="TableContents"/>
              <w:bidi w:val="0"/>
              <w:spacing w:before="0" w:after="283"/>
              <w:jc w:val="left"/>
              <w:rPr>
                <w:sz w:val="4"/>
                <w:szCs w:val="4"/>
              </w:rPr>
            </w:pPr>
            <w:r>
              <w:rPr>
                <w:sz w:val="4"/>
                <w:szCs w:val="4"/>
              </w:rPr>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color w:val="000000"/>
                <w:sz w:val="20"/>
              </w:rPr>
            </w:pPr>
            <w:r>
              <w:rPr>
                <w:rFonts w:ascii="Arial;sans-serif" w:hAnsi="Arial;sans-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(19,915)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4" w:before="0" w:after="0"/>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2" w:before="0" w:after="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50,672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Deferred income tax</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debt extinguishment</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Contingent consideration revaluation</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Post-conversion earnout share liability revaluation</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20"/>
              </w:rPr>
            </w:pPr>
            <w:r>
              <w:rPr>
                <w:rFonts w:ascii="Arial;sans-serif" w:hAnsi="Arial;sans-serif"/>
                <w:b w:val="false"/>
                <w:color w:val="000000"/>
                <w:sz w:val="20"/>
              </w:rPr>
              <w:t>Change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(63,806)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79,681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77,897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color w:val="000000"/>
                <w:sz w:val="20"/>
              </w:rPr>
            </w:pPr>
            <w:r>
              <w:rPr>
                <w:rFonts w:ascii="Arial;sans-serif" w:hAnsi="Arial;sans-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and capitalization of property, equipment and software</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(24,901)</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rFonts w:ascii="Arial;sans-serif" w:hAnsi="Arial;sans-serif"/>
                <w:b/>
                <w:color w:val="000000"/>
                <w:sz w:val="20"/>
              </w:rPr>
            </w:pPr>
            <w:r>
              <w:rPr>
                <w:rFonts w:ascii="Arial;sans-serif" w:hAnsi="Arial;sans-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Proceeds from issuance of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409,545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Proceeds from post-conversion earnout share liability </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initial public offering, net of underwriting discounts and commissions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(383,389)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Payment of debt principal</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left"/>
              <w:rPr>
                <w:rFonts w:ascii="Arial;sans-serif" w:hAnsi="Arial;sans-serif"/>
                <w:b w:val="false"/>
                <w:color w:val="000000"/>
                <w:sz w:val="20"/>
              </w:rPr>
            </w:pPr>
            <w:r>
              <w:rPr>
                <w:rFonts w:ascii="Arial;sans-serif" w:hAnsi="Arial;sans-serif"/>
                <w:b w:val="false"/>
                <w:color w:val="000000"/>
                <w:sz w:val="20"/>
              </w:rPr>
              <w:t>Payment of deferred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31" w:after="283"/>
              <w:jc w:val="left"/>
              <w:rPr>
                <w:rFonts w:ascii="Arial;sans-serif" w:hAnsi="Arial;sans-serif"/>
                <w:b w:val="false"/>
                <w:color w:val="000000"/>
                <w:sz w:val="20"/>
              </w:rPr>
            </w:pPr>
            <w:r>
              <w:rPr>
                <w:rFonts w:ascii="Arial;sans-serif" w:hAnsi="Arial;sans-serif"/>
                <w:b w:val="false"/>
                <w:color w:val="000000"/>
                <w:sz w:val="20"/>
              </w:rPr>
              <w:t>Effect of exchange rate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64" w:before="31"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78,882</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31"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99,088</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31"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177,970</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3390"/>
                <wp:effectExtent l="0" t="0" r="0" b="0"/>
                <wp:wrapNone/>
                <wp:docPr id="29" name="Frame11"/>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8 </w:t>
                            </w:r>
                            <w:r>
                              <w:rPr/>
                              <w:drawing>
                                <wp:inline distT="0" distB="0" distL="0" distR="0">
                                  <wp:extent cx="200025" cy="36195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0"/>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8 </w:t>
                      </w:r>
                      <w:r>
                        <w:rPr/>
                        <w:drawing>
                          <wp:inline distT="0" distB="0" distL="0" distR="0">
                            <wp:extent cx="200025" cy="36195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21"/>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Net Income (Loss) to Adjusted EBITDA</w:t>
      </w:r>
    </w:p>
    <w:p>
      <w:pPr>
        <w:pStyle w:val="TextBody"/>
        <w:bidi w:val="0"/>
        <w:spacing w:lineRule="auto" w:line="266" w:before="1" w:after="283"/>
        <w:jc w:val="center"/>
        <w:rPr>
          <w:rFonts w:ascii="Arial;sans-serif" w:hAnsi="Arial;sans-serif"/>
          <w:b w:val="false"/>
          <w:color w:val="000000"/>
          <w:sz w:val="20"/>
        </w:rPr>
      </w:pPr>
      <w:r>
        <w:rPr>
          <w:rFonts w:ascii="Arial;sans-serif" w:hAnsi="Arial;sans-serif"/>
          <w:b w:val="false"/>
          <w:color w:val="000000"/>
          <w:sz w:val="20"/>
        </w:rPr>
        <w:t>For the three and six months ended June 30, 2026 and 2025</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reconciles net income (loss) and net income (loss) margin, the most comparable GAAP financial measures to Adjusted EBITDA and Adjusted EBITDA Margin, respectively,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7"/>
        <w:gridCol w:w="1178"/>
        <w:gridCol w:w="1184"/>
        <w:gridCol w:w="109"/>
        <w:gridCol w:w="109"/>
        <w:gridCol w:w="109"/>
        <w:gridCol w:w="352"/>
        <w:gridCol w:w="251"/>
        <w:gridCol w:w="545"/>
        <w:gridCol w:w="182"/>
        <w:gridCol w:w="182"/>
        <w:gridCol w:w="182"/>
        <w:gridCol w:w="352"/>
        <w:gridCol w:w="219"/>
        <w:gridCol w:w="577"/>
        <w:gridCol w:w="109"/>
        <w:gridCol w:w="109"/>
        <w:gridCol w:w="109"/>
        <w:gridCol w:w="294"/>
        <w:gridCol w:w="218"/>
        <w:gridCol w:w="578"/>
        <w:gridCol w:w="152"/>
        <w:gridCol w:w="152"/>
        <w:gridCol w:w="152"/>
        <w:gridCol w:w="294"/>
        <w:gridCol w:w="179"/>
        <w:gridCol w:w="881"/>
      </w:tblGrid>
      <w:tr>
        <w:trPr/>
        <w:tc>
          <w:tcPr>
            <w:tcW w:w="14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i/>
                <w:color w:val="000000"/>
                <w:sz w:val="20"/>
              </w:rPr>
            </w:pPr>
            <w:r>
              <w:rPr>
                <w:rFonts w:ascii="Arial;sans-serif" w:hAnsi="Arial;sans-serif"/>
                <w:b w:val="false"/>
                <w:i/>
                <w:color w:val="000000"/>
                <w:sz w:val="20"/>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2026</w:t>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2026</w:t>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ind w:left="0" w:right="0" w:firstLine="200"/>
              <w:jc w:val="center"/>
              <w:rPr>
                <w:rFonts w:ascii="Arial;sans-serif" w:hAnsi="Arial;sans-serif"/>
                <w:b/>
                <w:color w:val="000000"/>
                <w:sz w:val="20"/>
              </w:rPr>
            </w:pPr>
            <w:r>
              <w:rPr>
                <w:rFonts w:ascii="Arial;sans-serif" w:hAnsi="Arial;sans-serif"/>
                <w:b/>
                <w:color w:val="000000"/>
                <w:sz w:val="20"/>
              </w:rPr>
              <w:t>2025</w:t>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Net income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(4,231)</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45,100</w:t>
            </w:r>
          </w:p>
        </w:tc>
        <w:tc>
          <w:tcPr>
            <w:tcW w:w="4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(19,915)</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33,339</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30,038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68,314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59,642</w:t>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23,461</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32,416</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(774)</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22,963</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44,731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50,672</w:t>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28,223</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21,854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34,834</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25,685</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Contingent consideration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17,529</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12,629</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5,100</w:t>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ind w:left="0" w:right="0" w:firstLine="200"/>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 xml:space="preserve">Other (expense) income,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992</w:t>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Reorganization severance costs </w:t>
            </w:r>
            <w:r>
              <w:rPr>
                <w:rFonts w:ascii="Arial;sans-serif" w:hAnsi="Arial;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592</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Transaction costs </w:t>
            </w:r>
            <w:r>
              <w:rPr>
                <w:rFonts w:ascii="Arial;sans-serif" w:hAnsi="Arial;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35,860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36,911</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Other non-recurring expenses </w:t>
            </w:r>
            <w:r>
              <w:rPr>
                <w:rFonts w:ascii="Arial;sans-serif" w:hAnsi="Arial;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4,183</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9,952</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4,134</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00"/>
              <w:jc w:val="left"/>
              <w:rPr/>
            </w:pPr>
            <w:r>
              <w:rPr>
                <w:rFonts w:ascii="Arial;sans-serif" w:hAnsi="Arial;sans-serif"/>
                <w:b w:val="false"/>
                <w:color w:val="000000"/>
                <w:sz w:val="20"/>
              </w:rPr>
              <w:t xml:space="preserve">Loss on debt extinguishment </w:t>
            </w:r>
            <w:r>
              <w:rPr>
                <w:rFonts w:ascii="Arial;sans-serif" w:hAnsi="Arial;sans-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7,366</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color w:val="000000"/>
              </w:rPr>
            </w:pPr>
            <w:r>
              <w:rPr>
                <w:color w:val="000000"/>
              </w:rPr>
              <w:t>—</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Post-conversion earnout share liability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(2,675)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00"/>
              <w:jc w:val="right"/>
              <w:rPr>
                <w:color w:val="000000"/>
              </w:rPr>
            </w:pPr>
            <w:r>
              <w:rPr>
                <w:color w:val="00000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132,312</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85,172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252,397</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val="false"/>
                <w:color w:val="000000"/>
                <w:sz w:val="20"/>
              </w:rPr>
            </w:pPr>
            <w:r>
              <w:rPr>
                <w:rFonts w:ascii="Arial;sans-serif" w:hAnsi="Arial;sans-serif"/>
                <w:b w:val="false"/>
                <w:color w:val="000000"/>
                <w:sz w:val="20"/>
              </w:rPr>
              <w:t>163,039</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(2)</w:t>
            </w:r>
          </w:p>
        </w:tc>
        <w:tc>
          <w:tcPr>
            <w:tcW w:w="5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(15)</w:t>
            </w:r>
          </w:p>
        </w:tc>
        <w:tc>
          <w:tcPr>
            <w:tcW w:w="5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11</w:t>
            </w:r>
            <w:r>
              <w:rPr>
                <w:color w:val="000000"/>
              </w:rPr>
              <w:t> </w:t>
            </w:r>
          </w:p>
        </w:tc>
        <w:tc>
          <w:tcPr>
            <w:tcW w:w="5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(6)</w:t>
            </w:r>
          </w:p>
        </w:tc>
        <w:tc>
          <w:tcPr>
            <w:tcW w:w="8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ind w:left="0" w:right="0" w:firstLine="200"/>
              <w:jc w:val="right"/>
              <w:rPr>
                <w:rFonts w:ascii="Arial;sans-serif" w:hAnsi="Arial;sans-serif"/>
                <w:b/>
                <w:color w:val="000000"/>
                <w:sz w:val="20"/>
              </w:rPr>
            </w:pPr>
            <w:r>
              <w:rPr>
                <w:rFonts w:ascii="Arial;sans-serif" w:hAnsi="Arial;sans-serif"/>
                <w:b/>
                <w:color w:val="000000"/>
                <w:sz w:val="20"/>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60</w:t>
            </w: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53</w:t>
            </w: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59</w:t>
            </w: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52</w:t>
            </w:r>
            <w:r>
              <w:rPr>
                <w:color w:val="000000"/>
              </w:rPr>
              <w:t> </w:t>
            </w:r>
          </w:p>
        </w:tc>
        <w:tc>
          <w:tcPr>
            <w:tcW w:w="88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lineRule="auto" w:line="268" w:before="0" w:after="0"/>
        <w:ind w:left="0" w:right="0" w:firstLine="270"/>
        <w:jc w:val="left"/>
        <w:rPr>
          <w:rFonts w:ascii="Arial;sans-serif" w:hAnsi="Arial;sans-serif"/>
          <w:b w:val="false"/>
          <w:color w:val="000000"/>
          <w:sz w:val="20"/>
        </w:rPr>
      </w:pPr>
      <w:r>
        <w:rPr>
          <w:rFonts w:ascii="Arial;sans-serif" w:hAnsi="Arial;sans-serif"/>
          <w:b w:val="false"/>
          <w:color w:val="000000"/>
          <w:sz w:val="20"/>
        </w:rPr>
        <w:t>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(a)Stock-based compensation includes $3.9 million and $2.9 million related to the vesting and payment of the 2021, 2024, and 2025 Distributions to employee equity holders for the three months ended June 30, 2026 and 2025, respectively, as well as $8.2 million and $6.1 million for the six months ended June 30, 2026 and 2025, respectively. Distributions of this nature are not expected to reoccur as a public company.</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(b)Represents reorganization costs associated with the integration of legacy Liftoff and Vungle operations following the 2021 merger. As a result of the Company’s integration activities, the Company undertook multiple defined reduction-in-force programs to eliminate duplicative roles and streamline the Company’s workforce across all functions. The costs came primarily in the form of severance and professional service costs associated with such operating model redesign, including severance related expenses and professional fees. Reorganization costs relating to these integration activities are expected to be minimal following the 2025 fiscal year.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(c)Represents costs for transaction-related services, such as investment banking, legal, accounting, and diligence, primarily incurred in connection with capital markets activities, including debt refinancing efforts and General Atlantic’s investment.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(d)Represents non-recurring third-party professional fees in preparation of becoming a public company that were not capitalizable.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(e)Consisted of a write-off of $7.4 million of unamortized issuance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3390"/>
                <wp:effectExtent l="0" t="0" r="0" b="0"/>
                <wp:wrapNone/>
                <wp:docPr id="32" name="Frame12"/>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9 </w:t>
                            </w:r>
                            <w:r>
                              <w:rPr/>
                              <w:drawing>
                                <wp:inline distT="0" distB="0" distL="0" distR="0">
                                  <wp:extent cx="200025" cy="36195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22"/>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9 </w:t>
                      </w:r>
                      <w:r>
                        <w:rPr/>
                        <w:drawing>
                          <wp:inline distT="0" distB="0" distL="0" distR="0">
                            <wp:extent cx="200025" cy="36195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3"/>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Liftoff Mobile,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Reconciliation of Net Cash Provided By Operating Activities to Free Cash Flow</w:t>
      </w:r>
    </w:p>
    <w:p>
      <w:pPr>
        <w:pStyle w:val="TextBody"/>
        <w:bidi w:val="0"/>
        <w:spacing w:lineRule="auto" w:line="288" w:before="1" w:after="283"/>
        <w:jc w:val="center"/>
        <w:rPr>
          <w:rFonts w:ascii="Arial;sans-serif" w:hAnsi="Arial;sans-serif"/>
          <w:b w:val="false"/>
          <w:color w:val="000000"/>
          <w:sz w:val="20"/>
        </w:rPr>
      </w:pPr>
      <w:r>
        <w:rPr>
          <w:rFonts w:ascii="Arial;sans-serif" w:hAnsi="Arial;sans-serif"/>
          <w:b w:val="false"/>
          <w:color w:val="000000"/>
          <w:sz w:val="20"/>
        </w:rPr>
        <w:t>For the twelve months ended June 30, 2026 and 2025</w:t>
      </w:r>
    </w:p>
    <w:p>
      <w:pPr>
        <w:pStyle w:val="TextBody"/>
        <w:bidi w:val="0"/>
        <w:spacing w:before="1" w:after="283"/>
        <w:jc w:val="center"/>
        <w:rPr/>
      </w:pPr>
      <w:r>
        <w:rPr/>
      </w:r>
    </w:p>
    <w:p>
      <w:pPr>
        <w:pStyle w:val="TextBody"/>
        <w:bidi w:val="0"/>
        <w:spacing w:lineRule="auto" w:line="268" w:before="1"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reconciles net cash provided by operating activities, the most comparable GAAP financial measure to Free Cash Flow for the periods presented: </w:t>
      </w:r>
    </w:p>
    <w:p>
      <w:pPr>
        <w:pStyle w:val="TextBody"/>
        <w:bidi w:val="0"/>
        <w:spacing w:before="0" w:after="0"/>
        <w:jc w:val="left"/>
        <w:rPr/>
      </w:pPr>
      <w:r>
        <w:rPr/>
      </w:r>
    </w:p>
    <w:tbl>
      <w:tblPr>
        <w:tblW w:w="8742" w:type="dxa"/>
        <w:jc w:val="left"/>
        <w:tblInd w:w="0" w:type="dxa"/>
        <w:tblLayout w:type="fixed"/>
        <w:tblCellMar>
          <w:top w:w="28" w:type="dxa"/>
          <w:left w:w="28" w:type="dxa"/>
          <w:bottom w:w="28" w:type="dxa"/>
          <w:right w:w="28" w:type="dxa"/>
        </w:tblCellMar>
      </w:tblPr>
      <w:tblGrid>
        <w:gridCol w:w="2065"/>
        <w:gridCol w:w="1816"/>
        <w:gridCol w:w="1819"/>
        <w:gridCol w:w="230"/>
        <w:gridCol w:w="936"/>
        <w:gridCol w:w="119"/>
        <w:gridCol w:w="119"/>
        <w:gridCol w:w="119"/>
        <w:gridCol w:w="119"/>
        <w:gridCol w:w="230"/>
        <w:gridCol w:w="1002"/>
        <w:gridCol w:w="168"/>
      </w:tblGrid>
      <w:tr>
        <w:trPr/>
        <w:tc>
          <w:tcPr>
            <w:tcW w:w="206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Twelve Months Ended June 30,</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and capitalization of property, equipment and software</w:t>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(48,323)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184,453 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76,365 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(52,481)</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(48,323)</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(55,941)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(105,501)</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3390"/>
                <wp:effectExtent l="0" t="0" r="0" b="0"/>
                <wp:wrapNone/>
                <wp:docPr id="35" name="Frame13"/>
                <a:graphic xmlns:a="http://schemas.openxmlformats.org/drawingml/2006/main">
                  <a:graphicData uri="http://schemas.microsoft.com/office/word/2010/wordprocessingShape">
                    <wps:wsp>
                      <wps:cNvSpPr txBox="1"/>
                      <wps:spPr>
                        <a:xfrm>
                          <a:off x="0" y="0"/>
                          <a:ext cx="6480175" cy="453390"/>
                        </a:xfrm>
                        <a:prstGeom prst="rect"/>
                        <a:solidFill>
                          <a:srgbClr val="FFFFFF"/>
                        </a:solidFill>
                      </wps:spPr>
                      <wps:txbx>
                        <w:txbxContent>
                          <w:p>
                            <w:pPr>
                              <w:pStyle w:val="TextBody"/>
                              <w:bidi w:val="0"/>
                              <w:spacing w:lineRule="auto" w:line="288" w:before="0" w:after="0"/>
                              <w:jc w:val="right"/>
                              <w:rPr/>
                            </w:pPr>
                            <w:r>
                              <w:rPr>
                                <w:rFonts w:ascii="Times New Roman;serif" w:hAnsi="Times New Roman;serif"/>
                                <w:b w:val="false"/>
                                <w:color w:val="000000"/>
                                <w:sz w:val="20"/>
                              </w:rPr>
                              <w:t xml:space="preserve">10 </w:t>
                            </w:r>
                            <w:r>
                              <w:rPr/>
                              <w:drawing>
                                <wp:inline distT="0" distB="0" distL="0" distR="0">
                                  <wp:extent cx="200025" cy="36195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24"/>
                                          <a:stretch>
                                            <a:fillRect/>
                                          </a:stretch>
                                        </pic:blipFill>
                                        <pic:spPr bwMode="auto">
                                          <a:xfrm>
                                            <a:off x="0" y="0"/>
                                            <a:ext cx="200025" cy="36195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rFonts w:ascii="Times New Roman;serif" w:hAnsi="Times New Roman;serif"/>
                          <w:b w:val="false"/>
                          <w:color w:val="000000"/>
                          <w:sz w:val="20"/>
                        </w:rPr>
                        <w:t xml:space="preserve">10 </w:t>
                      </w:r>
                      <w:r>
                        <w:rPr/>
                        <w:drawing>
                          <wp:inline distT="0" distB="0" distL="0" distR="0">
                            <wp:extent cx="200025" cy="36195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5"/>
                                    <a:stretch>
                                      <a:fillRect/>
                                    </a:stretch>
                                  </pic:blipFill>
                                  <pic:spPr bwMode="auto">
                                    <a:xfrm>
                                      <a:off x="0" y="0"/>
                                      <a:ext cx="200025" cy="361950"/>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4.png"/><Relationship Id="rId8" Type="http://schemas.openxmlformats.org/officeDocument/2006/relationships/image" Target="media/image4.png"/><Relationship Id="rId9" Type="http://schemas.openxmlformats.org/officeDocument/2006/relationships/image" Target="media/image4.png"/><Relationship Id="rId10" Type="http://schemas.openxmlformats.org/officeDocument/2006/relationships/image" Target="media/image4.png"/><Relationship Id="rId11" Type="http://schemas.openxmlformats.org/officeDocument/2006/relationships/image" Target="media/image4.png"/><Relationship Id="rId12" Type="http://schemas.openxmlformats.org/officeDocument/2006/relationships/image" Target="media/image4.png"/><Relationship Id="rId13" Type="http://schemas.openxmlformats.org/officeDocument/2006/relationships/image" Target="media/image4.png"/><Relationship Id="rId14" Type="http://schemas.openxmlformats.org/officeDocument/2006/relationships/image" Target="media/image4.png"/><Relationship Id="rId15" Type="http://schemas.openxmlformats.org/officeDocument/2006/relationships/image" Target="media/image4.png"/><Relationship Id="rId16" Type="http://schemas.openxmlformats.org/officeDocument/2006/relationships/image" Target="media/image4.png"/><Relationship Id="rId17" Type="http://schemas.openxmlformats.org/officeDocument/2006/relationships/image" Target="media/image4.png"/><Relationship Id="rId18" Type="http://schemas.openxmlformats.org/officeDocument/2006/relationships/image" Target="media/image4.png"/><Relationship Id="rId19" Type="http://schemas.openxmlformats.org/officeDocument/2006/relationships/image" Target="media/image4.png"/><Relationship Id="rId20" Type="http://schemas.openxmlformats.org/officeDocument/2006/relationships/image" Target="media/image4.png"/><Relationship Id="rId21" Type="http://schemas.openxmlformats.org/officeDocument/2006/relationships/image" Target="media/image4.png"/><Relationship Id="rId22" Type="http://schemas.openxmlformats.org/officeDocument/2006/relationships/image" Target="media/image4.png"/><Relationship Id="rId23" Type="http://schemas.openxmlformats.org/officeDocument/2006/relationships/image" Target="media/image4.png"/><Relationship Id="rId24" Type="http://schemas.openxmlformats.org/officeDocument/2006/relationships/image" Target="media/image4.png"/><Relationship Id="rId25" Type="http://schemas.openxmlformats.org/officeDocument/2006/relationships/image" Target="media/image4.pn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4732</Words>
  <Characters>27785</Characters>
  <CharactersWithSpaces>31930</CharactersWithSpaces>
  <Paragraphs>725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